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AF1E5" w14:textId="60633E49" w:rsidR="007168C5" w:rsidRPr="00095CC9" w:rsidRDefault="00395D86" w:rsidP="00913584">
      <w:pPr>
        <w:spacing w:after="0"/>
        <w:rPr>
          <w:rFonts w:ascii="Arial" w:hAnsi="Arial" w:cs="Arial"/>
        </w:rPr>
      </w:pPr>
      <w:r w:rsidRPr="00095CC9">
        <w:rPr>
          <w:rFonts w:ascii="Arial" w:hAnsi="Arial" w:cs="Arial"/>
          <w:highlight w:val="yellow"/>
        </w:rPr>
        <w:t>Insert Sector Name</w:t>
      </w:r>
    </w:p>
    <w:p w14:paraId="644F4647" w14:textId="77777777" w:rsidR="007168C5" w:rsidRPr="00095CC9" w:rsidRDefault="007168C5" w:rsidP="00913584">
      <w:pPr>
        <w:spacing w:after="0"/>
        <w:rPr>
          <w:rFonts w:ascii="Arial" w:hAnsi="Arial" w:cs="Arial"/>
        </w:rPr>
      </w:pPr>
    </w:p>
    <w:p w14:paraId="7240EE4A" w14:textId="0E7B587E" w:rsidR="007168C5" w:rsidRPr="00095CC9" w:rsidRDefault="004200A2" w:rsidP="00913584">
      <w:pPr>
        <w:spacing w:after="0"/>
        <w:rPr>
          <w:rFonts w:ascii="Arial" w:hAnsi="Arial" w:cs="Arial"/>
        </w:rPr>
      </w:pPr>
      <w:r w:rsidRPr="00095CC9">
        <w:rPr>
          <w:rFonts w:ascii="Arial" w:hAnsi="Arial" w:cs="Arial"/>
        </w:rPr>
        <w:t>Competence Framework</w:t>
      </w:r>
      <w:r w:rsidR="005A2CFB" w:rsidRPr="00095CC9">
        <w:rPr>
          <w:rFonts w:ascii="Arial" w:hAnsi="Arial" w:cs="Arial"/>
        </w:rPr>
        <w:t xml:space="preserve"> – </w:t>
      </w:r>
      <w:r w:rsidR="00395D86" w:rsidRPr="00095CC9">
        <w:rPr>
          <w:rFonts w:ascii="Arial" w:hAnsi="Arial" w:cs="Arial"/>
        </w:rPr>
        <w:t>Strategy</w:t>
      </w:r>
    </w:p>
    <w:p w14:paraId="3DA57BC6" w14:textId="108A3479" w:rsidR="007168C5" w:rsidRPr="00095CC9" w:rsidRDefault="007168C5" w:rsidP="00913584">
      <w:pPr>
        <w:spacing w:after="0"/>
        <w:rPr>
          <w:rFonts w:ascii="Arial" w:hAnsi="Arial" w:cs="Arial"/>
        </w:rPr>
      </w:pPr>
    </w:p>
    <w:p w14:paraId="210BBBC2" w14:textId="2FC7AE8E" w:rsidR="007168C5" w:rsidRPr="00095CC9" w:rsidRDefault="007168C5" w:rsidP="00913584">
      <w:pPr>
        <w:spacing w:after="0"/>
        <w:rPr>
          <w:rFonts w:ascii="Arial" w:hAnsi="Arial" w:cs="Arial"/>
        </w:rPr>
      </w:pPr>
      <w:r w:rsidRPr="00095CC9">
        <w:rPr>
          <w:rFonts w:ascii="Arial" w:hAnsi="Arial" w:cs="Arial"/>
        </w:rPr>
        <w:t>Date of issue:</w:t>
      </w:r>
      <w:r w:rsidR="00913584" w:rsidRPr="00095CC9">
        <w:rPr>
          <w:rFonts w:ascii="Arial" w:hAnsi="Arial" w:cs="Arial"/>
        </w:rPr>
        <w:t xml:space="preserve"> </w:t>
      </w:r>
      <w:r w:rsidR="00395D86" w:rsidRPr="00095CC9">
        <w:rPr>
          <w:rFonts w:ascii="Arial" w:hAnsi="Arial" w:cs="Arial"/>
          <w:highlight w:val="yellow"/>
        </w:rPr>
        <w:t>insert</w:t>
      </w:r>
    </w:p>
    <w:p w14:paraId="31CD15C3" w14:textId="23C8A61E" w:rsidR="007168C5" w:rsidRPr="00095CC9" w:rsidRDefault="007168C5" w:rsidP="00913584">
      <w:pPr>
        <w:spacing w:after="0"/>
        <w:rPr>
          <w:rFonts w:ascii="Arial" w:hAnsi="Arial" w:cs="Arial"/>
        </w:rPr>
      </w:pPr>
    </w:p>
    <w:p w14:paraId="75D99FFE" w14:textId="49856985" w:rsidR="007168C5" w:rsidRPr="00095CC9" w:rsidRDefault="007168C5" w:rsidP="00913584">
      <w:pPr>
        <w:spacing w:after="0"/>
        <w:rPr>
          <w:rFonts w:ascii="Arial" w:hAnsi="Arial" w:cs="Arial"/>
          <w:b/>
          <w:bCs/>
        </w:rPr>
      </w:pPr>
    </w:p>
    <w:sdt>
      <w:sdtPr>
        <w:rPr>
          <w:rFonts w:ascii="Arial" w:hAnsi="Arial" w:cs="Arial"/>
          <w:b w:val="0"/>
          <w:bCs w:val="0"/>
          <w:sz w:val="22"/>
          <w:szCs w:val="22"/>
        </w:rPr>
        <w:id w:val="-2060004266"/>
        <w:docPartObj>
          <w:docPartGallery w:val="Table of Contents"/>
          <w:docPartUnique/>
        </w:docPartObj>
      </w:sdtPr>
      <w:sdtEndPr>
        <w:rPr>
          <w:noProof/>
        </w:rPr>
      </w:sdtEndPr>
      <w:sdtContent>
        <w:p w14:paraId="5519E877" w14:textId="798D8134" w:rsidR="00EC0DB2" w:rsidRPr="00095CC9" w:rsidRDefault="00EC0DB2" w:rsidP="00041B99">
          <w:pPr>
            <w:pStyle w:val="TOCHeading"/>
            <w:pBdr>
              <w:top w:val="single" w:sz="4" w:space="1" w:color="auto"/>
              <w:left w:val="single" w:sz="4" w:space="4" w:color="auto"/>
              <w:bottom w:val="single" w:sz="4" w:space="1" w:color="auto"/>
              <w:right w:val="single" w:sz="4" w:space="4" w:color="auto"/>
            </w:pBdr>
            <w:spacing w:before="120" w:after="120"/>
            <w:rPr>
              <w:rFonts w:ascii="Arial" w:hAnsi="Arial" w:cs="Arial"/>
              <w:sz w:val="22"/>
              <w:szCs w:val="22"/>
            </w:rPr>
          </w:pPr>
          <w:r w:rsidRPr="00095CC9">
            <w:rPr>
              <w:rFonts w:ascii="Arial" w:hAnsi="Arial" w:cs="Arial"/>
              <w:sz w:val="22"/>
              <w:szCs w:val="22"/>
            </w:rPr>
            <w:t>Contents</w:t>
          </w:r>
        </w:p>
        <w:p w14:paraId="1CC6C2BD" w14:textId="7946ED60" w:rsidR="00932544" w:rsidRDefault="00EC0DB2">
          <w:pPr>
            <w:pStyle w:val="TOC1"/>
            <w:rPr>
              <w:noProof/>
              <w:kern w:val="2"/>
              <w:sz w:val="24"/>
              <w:szCs w:val="24"/>
              <w:lang w:eastAsia="en-GB"/>
              <w14:ligatures w14:val="standardContextual"/>
            </w:rPr>
          </w:pPr>
          <w:r w:rsidRPr="00095CC9">
            <w:rPr>
              <w:rFonts w:ascii="Arial" w:hAnsi="Arial" w:cs="Arial"/>
            </w:rPr>
            <w:fldChar w:fldCharType="begin"/>
          </w:r>
          <w:r w:rsidRPr="00095CC9">
            <w:rPr>
              <w:rFonts w:ascii="Arial" w:hAnsi="Arial" w:cs="Arial"/>
            </w:rPr>
            <w:instrText xml:space="preserve"> TOC \o "1-3" \h \z \u </w:instrText>
          </w:r>
          <w:r w:rsidRPr="00095CC9">
            <w:rPr>
              <w:rFonts w:ascii="Arial" w:hAnsi="Arial" w:cs="Arial"/>
            </w:rPr>
            <w:fldChar w:fldCharType="separate"/>
          </w:r>
          <w:hyperlink w:anchor="_Toc187676481" w:history="1">
            <w:r w:rsidR="00932544" w:rsidRPr="000C2B43">
              <w:rPr>
                <w:rStyle w:val="Hyperlink"/>
                <w:rFonts w:ascii="Arial" w:hAnsi="Arial" w:cs="Arial"/>
                <w:noProof/>
              </w:rPr>
              <w:t>1.</w:t>
            </w:r>
            <w:r w:rsidR="00932544">
              <w:rPr>
                <w:noProof/>
                <w:kern w:val="2"/>
                <w:sz w:val="24"/>
                <w:szCs w:val="24"/>
                <w:lang w:eastAsia="en-GB"/>
                <w14:ligatures w14:val="standardContextual"/>
              </w:rPr>
              <w:tab/>
            </w:r>
            <w:r w:rsidR="00932544" w:rsidRPr="000C2B43">
              <w:rPr>
                <w:rStyle w:val="Hyperlink"/>
                <w:rFonts w:ascii="Arial" w:hAnsi="Arial" w:cs="Arial"/>
                <w:noProof/>
              </w:rPr>
              <w:t>Background</w:t>
            </w:r>
            <w:r w:rsidR="00932544">
              <w:rPr>
                <w:noProof/>
                <w:webHidden/>
              </w:rPr>
              <w:tab/>
            </w:r>
            <w:r w:rsidR="00932544">
              <w:rPr>
                <w:noProof/>
                <w:webHidden/>
              </w:rPr>
              <w:fldChar w:fldCharType="begin"/>
            </w:r>
            <w:r w:rsidR="00932544">
              <w:rPr>
                <w:noProof/>
                <w:webHidden/>
              </w:rPr>
              <w:instrText xml:space="preserve"> PAGEREF _Toc187676481 \h </w:instrText>
            </w:r>
            <w:r w:rsidR="00932544">
              <w:rPr>
                <w:noProof/>
                <w:webHidden/>
              </w:rPr>
            </w:r>
            <w:r w:rsidR="00932544">
              <w:rPr>
                <w:noProof/>
                <w:webHidden/>
              </w:rPr>
              <w:fldChar w:fldCharType="separate"/>
            </w:r>
            <w:r w:rsidR="00932544">
              <w:rPr>
                <w:noProof/>
                <w:webHidden/>
              </w:rPr>
              <w:t>2</w:t>
            </w:r>
            <w:r w:rsidR="00932544">
              <w:rPr>
                <w:noProof/>
                <w:webHidden/>
              </w:rPr>
              <w:fldChar w:fldCharType="end"/>
            </w:r>
          </w:hyperlink>
        </w:p>
        <w:p w14:paraId="10299DBC" w14:textId="2D0705DA" w:rsidR="00932544" w:rsidRDefault="00932544">
          <w:pPr>
            <w:pStyle w:val="TOC1"/>
            <w:rPr>
              <w:noProof/>
              <w:kern w:val="2"/>
              <w:sz w:val="24"/>
              <w:szCs w:val="24"/>
              <w:lang w:eastAsia="en-GB"/>
              <w14:ligatures w14:val="standardContextual"/>
            </w:rPr>
          </w:pPr>
          <w:hyperlink w:anchor="_Toc187676482" w:history="1">
            <w:r w:rsidRPr="000C2B43">
              <w:rPr>
                <w:rStyle w:val="Hyperlink"/>
                <w:rFonts w:ascii="Arial" w:hAnsi="Arial" w:cs="Arial"/>
                <w:noProof/>
              </w:rPr>
              <w:t>2.</w:t>
            </w:r>
            <w:r>
              <w:rPr>
                <w:noProof/>
                <w:kern w:val="2"/>
                <w:sz w:val="24"/>
                <w:szCs w:val="24"/>
                <w:lang w:eastAsia="en-GB"/>
                <w14:ligatures w14:val="standardContextual"/>
              </w:rPr>
              <w:tab/>
            </w:r>
            <w:r w:rsidRPr="000C2B43">
              <w:rPr>
                <w:rStyle w:val="Hyperlink"/>
                <w:rFonts w:ascii="Arial" w:hAnsi="Arial" w:cs="Arial"/>
                <w:noProof/>
              </w:rPr>
              <w:t>Sector Overview:</w:t>
            </w:r>
            <w:r>
              <w:rPr>
                <w:noProof/>
                <w:webHidden/>
              </w:rPr>
              <w:tab/>
            </w:r>
            <w:r>
              <w:rPr>
                <w:noProof/>
                <w:webHidden/>
              </w:rPr>
              <w:fldChar w:fldCharType="begin"/>
            </w:r>
            <w:r>
              <w:rPr>
                <w:noProof/>
                <w:webHidden/>
              </w:rPr>
              <w:instrText xml:space="preserve"> PAGEREF _Toc187676482 \h </w:instrText>
            </w:r>
            <w:r>
              <w:rPr>
                <w:noProof/>
                <w:webHidden/>
              </w:rPr>
            </w:r>
            <w:r>
              <w:rPr>
                <w:noProof/>
                <w:webHidden/>
              </w:rPr>
              <w:fldChar w:fldCharType="separate"/>
            </w:r>
            <w:r>
              <w:rPr>
                <w:noProof/>
                <w:webHidden/>
              </w:rPr>
              <w:t>3</w:t>
            </w:r>
            <w:r>
              <w:rPr>
                <w:noProof/>
                <w:webHidden/>
              </w:rPr>
              <w:fldChar w:fldCharType="end"/>
            </w:r>
          </w:hyperlink>
        </w:p>
        <w:p w14:paraId="2794FD4E" w14:textId="393953FD" w:rsidR="00932544" w:rsidRDefault="00932544">
          <w:pPr>
            <w:pStyle w:val="TOC1"/>
            <w:rPr>
              <w:noProof/>
              <w:kern w:val="2"/>
              <w:sz w:val="24"/>
              <w:szCs w:val="24"/>
              <w:lang w:eastAsia="en-GB"/>
              <w14:ligatures w14:val="standardContextual"/>
            </w:rPr>
          </w:pPr>
          <w:hyperlink w:anchor="_Toc187676483" w:history="1">
            <w:r w:rsidRPr="000C2B43">
              <w:rPr>
                <w:rStyle w:val="Hyperlink"/>
                <w:rFonts w:ascii="Arial" w:hAnsi="Arial" w:cs="Arial"/>
                <w:noProof/>
              </w:rPr>
              <w:t>3.</w:t>
            </w:r>
            <w:r>
              <w:rPr>
                <w:noProof/>
                <w:kern w:val="2"/>
                <w:sz w:val="24"/>
                <w:szCs w:val="24"/>
                <w:lang w:eastAsia="en-GB"/>
                <w14:ligatures w14:val="standardContextual"/>
              </w:rPr>
              <w:tab/>
            </w:r>
            <w:r w:rsidRPr="000C2B43">
              <w:rPr>
                <w:rStyle w:val="Hyperlink"/>
                <w:rFonts w:ascii="Arial" w:hAnsi="Arial" w:cs="Arial"/>
                <w:noProof/>
              </w:rPr>
              <w:t>Current Route to Competence Diagram</w:t>
            </w:r>
            <w:r>
              <w:rPr>
                <w:noProof/>
                <w:webHidden/>
              </w:rPr>
              <w:tab/>
            </w:r>
            <w:r>
              <w:rPr>
                <w:noProof/>
                <w:webHidden/>
              </w:rPr>
              <w:fldChar w:fldCharType="begin"/>
            </w:r>
            <w:r>
              <w:rPr>
                <w:noProof/>
                <w:webHidden/>
              </w:rPr>
              <w:instrText xml:space="preserve"> PAGEREF _Toc187676483 \h </w:instrText>
            </w:r>
            <w:r>
              <w:rPr>
                <w:noProof/>
                <w:webHidden/>
              </w:rPr>
            </w:r>
            <w:r>
              <w:rPr>
                <w:noProof/>
                <w:webHidden/>
              </w:rPr>
              <w:fldChar w:fldCharType="separate"/>
            </w:r>
            <w:r>
              <w:rPr>
                <w:noProof/>
                <w:webHidden/>
              </w:rPr>
              <w:t>7</w:t>
            </w:r>
            <w:r>
              <w:rPr>
                <w:noProof/>
                <w:webHidden/>
              </w:rPr>
              <w:fldChar w:fldCharType="end"/>
            </w:r>
          </w:hyperlink>
        </w:p>
        <w:p w14:paraId="19C6622B" w14:textId="1C1EA6F0" w:rsidR="00932544" w:rsidRDefault="00932544">
          <w:pPr>
            <w:pStyle w:val="TOC1"/>
            <w:rPr>
              <w:noProof/>
              <w:kern w:val="2"/>
              <w:sz w:val="24"/>
              <w:szCs w:val="24"/>
              <w:lang w:eastAsia="en-GB"/>
              <w14:ligatures w14:val="standardContextual"/>
            </w:rPr>
          </w:pPr>
          <w:hyperlink w:anchor="_Toc187676484" w:history="1">
            <w:r w:rsidRPr="000C2B43">
              <w:rPr>
                <w:rStyle w:val="Hyperlink"/>
                <w:rFonts w:ascii="Arial" w:hAnsi="Arial" w:cs="Arial"/>
                <w:noProof/>
              </w:rPr>
              <w:t>4.</w:t>
            </w:r>
            <w:r>
              <w:rPr>
                <w:noProof/>
                <w:kern w:val="2"/>
                <w:sz w:val="24"/>
                <w:szCs w:val="24"/>
                <w:lang w:eastAsia="en-GB"/>
                <w14:ligatures w14:val="standardContextual"/>
              </w:rPr>
              <w:tab/>
            </w:r>
            <w:r w:rsidRPr="000C2B43">
              <w:rPr>
                <w:rStyle w:val="Hyperlink"/>
                <w:rFonts w:ascii="Arial" w:hAnsi="Arial" w:cs="Arial"/>
                <w:noProof/>
              </w:rPr>
              <w:t>Competence Framework</w:t>
            </w:r>
            <w:r>
              <w:rPr>
                <w:noProof/>
                <w:webHidden/>
              </w:rPr>
              <w:tab/>
            </w:r>
            <w:r>
              <w:rPr>
                <w:noProof/>
                <w:webHidden/>
              </w:rPr>
              <w:fldChar w:fldCharType="begin"/>
            </w:r>
            <w:r>
              <w:rPr>
                <w:noProof/>
                <w:webHidden/>
              </w:rPr>
              <w:instrText xml:space="preserve"> PAGEREF _Toc187676484 \h </w:instrText>
            </w:r>
            <w:r>
              <w:rPr>
                <w:noProof/>
                <w:webHidden/>
              </w:rPr>
            </w:r>
            <w:r>
              <w:rPr>
                <w:noProof/>
                <w:webHidden/>
              </w:rPr>
              <w:fldChar w:fldCharType="separate"/>
            </w:r>
            <w:r>
              <w:rPr>
                <w:noProof/>
                <w:webHidden/>
              </w:rPr>
              <w:t>7</w:t>
            </w:r>
            <w:r>
              <w:rPr>
                <w:noProof/>
                <w:webHidden/>
              </w:rPr>
              <w:fldChar w:fldCharType="end"/>
            </w:r>
          </w:hyperlink>
        </w:p>
        <w:p w14:paraId="6AB0D460" w14:textId="03DA25E2" w:rsidR="00932544" w:rsidRDefault="00932544">
          <w:pPr>
            <w:pStyle w:val="TOC1"/>
            <w:rPr>
              <w:noProof/>
              <w:kern w:val="2"/>
              <w:sz w:val="24"/>
              <w:szCs w:val="24"/>
              <w:lang w:eastAsia="en-GB"/>
              <w14:ligatures w14:val="standardContextual"/>
            </w:rPr>
          </w:pPr>
          <w:hyperlink w:anchor="_Toc187676485" w:history="1">
            <w:r w:rsidRPr="000C2B43">
              <w:rPr>
                <w:rStyle w:val="Hyperlink"/>
                <w:rFonts w:ascii="Arial" w:hAnsi="Arial" w:cs="Arial"/>
                <w:noProof/>
              </w:rPr>
              <w:t>APPENDIX A – Questionnaire</w:t>
            </w:r>
            <w:r>
              <w:rPr>
                <w:noProof/>
                <w:webHidden/>
              </w:rPr>
              <w:tab/>
            </w:r>
            <w:r>
              <w:rPr>
                <w:noProof/>
                <w:webHidden/>
              </w:rPr>
              <w:fldChar w:fldCharType="begin"/>
            </w:r>
            <w:r>
              <w:rPr>
                <w:noProof/>
                <w:webHidden/>
              </w:rPr>
              <w:instrText xml:space="preserve"> PAGEREF _Toc187676485 \h </w:instrText>
            </w:r>
            <w:r>
              <w:rPr>
                <w:noProof/>
                <w:webHidden/>
              </w:rPr>
            </w:r>
            <w:r>
              <w:rPr>
                <w:noProof/>
                <w:webHidden/>
              </w:rPr>
              <w:fldChar w:fldCharType="separate"/>
            </w:r>
            <w:r>
              <w:rPr>
                <w:noProof/>
                <w:webHidden/>
              </w:rPr>
              <w:t>8</w:t>
            </w:r>
            <w:r>
              <w:rPr>
                <w:noProof/>
                <w:webHidden/>
              </w:rPr>
              <w:fldChar w:fldCharType="end"/>
            </w:r>
          </w:hyperlink>
        </w:p>
        <w:p w14:paraId="1CD04F07" w14:textId="52CCA199" w:rsidR="00932544" w:rsidRDefault="00932544">
          <w:pPr>
            <w:pStyle w:val="TOC1"/>
            <w:rPr>
              <w:noProof/>
              <w:kern w:val="2"/>
              <w:sz w:val="24"/>
              <w:szCs w:val="24"/>
              <w:lang w:eastAsia="en-GB"/>
              <w14:ligatures w14:val="standardContextual"/>
            </w:rPr>
          </w:pPr>
          <w:hyperlink w:anchor="_Toc187676486" w:history="1">
            <w:r w:rsidRPr="000C2B43">
              <w:rPr>
                <w:rStyle w:val="Hyperlink"/>
                <w:rFonts w:ascii="Arial" w:hAnsi="Arial" w:cs="Arial"/>
                <w:noProof/>
              </w:rPr>
              <w:t>APPENDIX B – Participating organisations</w:t>
            </w:r>
            <w:r>
              <w:rPr>
                <w:noProof/>
                <w:webHidden/>
              </w:rPr>
              <w:tab/>
            </w:r>
            <w:r>
              <w:rPr>
                <w:noProof/>
                <w:webHidden/>
              </w:rPr>
              <w:fldChar w:fldCharType="begin"/>
            </w:r>
            <w:r>
              <w:rPr>
                <w:noProof/>
                <w:webHidden/>
              </w:rPr>
              <w:instrText xml:space="preserve"> PAGEREF _Toc187676486 \h </w:instrText>
            </w:r>
            <w:r>
              <w:rPr>
                <w:noProof/>
                <w:webHidden/>
              </w:rPr>
            </w:r>
            <w:r>
              <w:rPr>
                <w:noProof/>
                <w:webHidden/>
              </w:rPr>
              <w:fldChar w:fldCharType="separate"/>
            </w:r>
            <w:r>
              <w:rPr>
                <w:noProof/>
                <w:webHidden/>
              </w:rPr>
              <w:t>9</w:t>
            </w:r>
            <w:r>
              <w:rPr>
                <w:noProof/>
                <w:webHidden/>
              </w:rPr>
              <w:fldChar w:fldCharType="end"/>
            </w:r>
          </w:hyperlink>
        </w:p>
        <w:p w14:paraId="5DF7EEE7" w14:textId="7E748573" w:rsidR="00EC0DB2" w:rsidRPr="00095CC9" w:rsidRDefault="00EC0DB2" w:rsidP="00041B99">
          <w:pPr>
            <w:pStyle w:val="TOC1"/>
            <w:pBdr>
              <w:top w:val="single" w:sz="4" w:space="1" w:color="auto"/>
              <w:left w:val="single" w:sz="4" w:space="4" w:color="auto"/>
              <w:bottom w:val="single" w:sz="4" w:space="1" w:color="auto"/>
              <w:right w:val="single" w:sz="4" w:space="4" w:color="auto"/>
            </w:pBdr>
            <w:rPr>
              <w:rFonts w:ascii="Arial" w:hAnsi="Arial" w:cs="Arial"/>
            </w:rPr>
          </w:pPr>
          <w:r w:rsidRPr="00095CC9">
            <w:rPr>
              <w:rFonts w:ascii="Arial" w:hAnsi="Arial" w:cs="Arial"/>
              <w:b/>
              <w:bCs/>
              <w:noProof/>
            </w:rPr>
            <w:fldChar w:fldCharType="end"/>
          </w:r>
        </w:p>
      </w:sdtContent>
    </w:sdt>
    <w:p w14:paraId="4953ED5E" w14:textId="77777777" w:rsidR="00F100E6" w:rsidRPr="00095CC9" w:rsidRDefault="00F100E6" w:rsidP="00913584">
      <w:pPr>
        <w:spacing w:after="0"/>
        <w:rPr>
          <w:rFonts w:ascii="Arial" w:hAnsi="Arial" w:cs="Arial"/>
        </w:rPr>
        <w:sectPr w:rsidR="00F100E6" w:rsidRPr="00095CC9" w:rsidSect="00E607AB">
          <w:footerReference w:type="default" r:id="rId11"/>
          <w:pgSz w:w="11906" w:h="16838" w:code="9"/>
          <w:pgMar w:top="720" w:right="720" w:bottom="720" w:left="720" w:header="708" w:footer="708" w:gutter="0"/>
          <w:cols w:space="708"/>
          <w:docGrid w:linePitch="360"/>
        </w:sectPr>
      </w:pPr>
      <w:bookmarkStart w:id="0" w:name="_Toc97115697"/>
    </w:p>
    <w:p w14:paraId="54AD5D43" w14:textId="4AB9FD7C" w:rsidR="001A4B42" w:rsidRPr="00095CC9" w:rsidRDefault="005C512C" w:rsidP="005C73DF">
      <w:pPr>
        <w:pStyle w:val="Heading1"/>
        <w:numPr>
          <w:ilvl w:val="0"/>
          <w:numId w:val="1"/>
        </w:numPr>
        <w:jc w:val="both"/>
        <w:rPr>
          <w:rFonts w:ascii="Arial" w:hAnsi="Arial" w:cs="Arial"/>
          <w:sz w:val="22"/>
          <w:szCs w:val="22"/>
        </w:rPr>
      </w:pPr>
      <w:bookmarkStart w:id="1" w:name="_Toc187676481"/>
      <w:r w:rsidRPr="00095CC9">
        <w:rPr>
          <w:rFonts w:ascii="Arial" w:hAnsi="Arial" w:cs="Arial"/>
          <w:sz w:val="22"/>
          <w:szCs w:val="22"/>
        </w:rPr>
        <w:t>B</w:t>
      </w:r>
      <w:r w:rsidR="001A4B42" w:rsidRPr="00095CC9">
        <w:rPr>
          <w:rFonts w:ascii="Arial" w:hAnsi="Arial" w:cs="Arial"/>
          <w:sz w:val="22"/>
          <w:szCs w:val="22"/>
        </w:rPr>
        <w:t>ackground</w:t>
      </w:r>
      <w:bookmarkEnd w:id="0"/>
      <w:bookmarkEnd w:id="1"/>
    </w:p>
    <w:p w14:paraId="16158A5F" w14:textId="77777777" w:rsidR="007168C5" w:rsidRPr="00095CC9" w:rsidRDefault="007168C5" w:rsidP="00F100E6">
      <w:pPr>
        <w:spacing w:after="0"/>
        <w:rPr>
          <w:rFonts w:ascii="Arial" w:hAnsi="Arial" w:cs="Arial"/>
        </w:rPr>
      </w:pPr>
    </w:p>
    <w:p w14:paraId="17B6B885" w14:textId="77777777" w:rsidR="00C128AF" w:rsidRPr="00986B49" w:rsidRDefault="00C128AF" w:rsidP="00C128AF">
      <w:pPr>
        <w:rPr>
          <w:rFonts w:ascii="Arial" w:hAnsi="Arial" w:cs="Arial"/>
        </w:rPr>
      </w:pPr>
      <w:r w:rsidRPr="00986B49">
        <w:rPr>
          <w:rFonts w:ascii="Arial" w:hAnsi="Arial" w:cs="Arial"/>
        </w:rPr>
        <w:t>In her report, </w:t>
      </w:r>
      <w:hyperlink r:id="rId12" w:history="1">
        <w:r w:rsidRPr="00986B49">
          <w:rPr>
            <w:rStyle w:val="Hyperlink"/>
            <w:rFonts w:ascii="Arial" w:hAnsi="Arial" w:cs="Arial"/>
          </w:rPr>
          <w:t>Building a Safer Future</w:t>
        </w:r>
      </w:hyperlink>
      <w:r w:rsidRPr="00986B49">
        <w:rPr>
          <w:rFonts w:ascii="Arial" w:hAnsi="Arial" w:cs="Arial"/>
        </w:rPr>
        <w:t>, Dame Judith Hackitt spoke of the industry’s approach to competence as being “fragmented, encompassing a range of disciplines and different competence frameworks even within one discipline and without reference to other interacting disciplines”.</w:t>
      </w:r>
    </w:p>
    <w:p w14:paraId="57D173B9" w14:textId="77777777" w:rsidR="00C128AF" w:rsidRDefault="00C128AF" w:rsidP="00C128AF">
      <w:pPr>
        <w:rPr>
          <w:rFonts w:ascii="Arial" w:hAnsi="Arial" w:cs="Arial"/>
        </w:rPr>
      </w:pPr>
      <w:r w:rsidRPr="00986B49">
        <w:rPr>
          <w:rFonts w:ascii="Arial" w:hAnsi="Arial" w:cs="Arial"/>
        </w:rPr>
        <w:t xml:space="preserve">The Building Safety Act 2022, together with supporting secondary legislation, has introduced a new regulatory regime, which requires the engagement of everyone working in the built environment, not just those involved in </w:t>
      </w:r>
      <w:hyperlink r:id="rId13" w:history="1">
        <w:r w:rsidRPr="00986B49">
          <w:rPr>
            <w:rStyle w:val="Hyperlink"/>
            <w:rFonts w:ascii="Arial" w:hAnsi="Arial" w:cs="Arial"/>
          </w:rPr>
          <w:t>Higher-Risk Buildings</w:t>
        </w:r>
      </w:hyperlink>
      <w:r w:rsidRPr="00986B49">
        <w:rPr>
          <w:rFonts w:ascii="Arial" w:hAnsi="Arial" w:cs="Arial"/>
        </w:rPr>
        <w:t xml:space="preserve"> (HRB).</w:t>
      </w:r>
    </w:p>
    <w:p w14:paraId="0739C9CC" w14:textId="77777777" w:rsidR="00962EE6" w:rsidRPr="00F80650" w:rsidRDefault="00962EE6" w:rsidP="00962EE6">
      <w:pPr>
        <w:rPr>
          <w:rFonts w:ascii="Arial" w:hAnsi="Arial" w:cs="Arial"/>
        </w:rPr>
      </w:pPr>
      <w:r>
        <w:rPr>
          <w:rFonts w:ascii="Arial" w:hAnsi="Arial" w:cs="Arial"/>
        </w:rPr>
        <w:t>Regulations</w:t>
      </w:r>
      <w:r w:rsidRPr="00F80650">
        <w:rPr>
          <w:rFonts w:ascii="Arial" w:hAnsi="Arial" w:cs="Arial"/>
        </w:rPr>
        <w:t xml:space="preserve"> define competence as having the appropriate </w:t>
      </w:r>
      <w:r w:rsidRPr="00F80650">
        <w:rPr>
          <w:rFonts w:ascii="Arial" w:hAnsi="Arial" w:cs="Arial"/>
          <w:b/>
          <w:bCs/>
        </w:rPr>
        <w:t>skills</w:t>
      </w:r>
      <w:r w:rsidRPr="00F80650">
        <w:rPr>
          <w:rFonts w:ascii="Arial" w:hAnsi="Arial" w:cs="Arial"/>
        </w:rPr>
        <w:t xml:space="preserve">, </w:t>
      </w:r>
      <w:r w:rsidRPr="00F80650">
        <w:rPr>
          <w:rFonts w:ascii="Arial" w:hAnsi="Arial" w:cs="Arial"/>
          <w:b/>
          <w:bCs/>
        </w:rPr>
        <w:t>knowledge</w:t>
      </w:r>
      <w:r w:rsidRPr="00F80650">
        <w:rPr>
          <w:rFonts w:ascii="Arial" w:hAnsi="Arial" w:cs="Arial"/>
        </w:rPr>
        <w:t xml:space="preserve">, </w:t>
      </w:r>
      <w:r w:rsidRPr="00F80650">
        <w:rPr>
          <w:rFonts w:ascii="Arial" w:hAnsi="Arial" w:cs="Arial"/>
          <w:b/>
          <w:bCs/>
        </w:rPr>
        <w:t>experience</w:t>
      </w:r>
      <w:r w:rsidRPr="00F80650">
        <w:rPr>
          <w:rFonts w:ascii="Arial" w:hAnsi="Arial" w:cs="Arial"/>
        </w:rPr>
        <w:t xml:space="preserve"> and </w:t>
      </w:r>
      <w:r w:rsidRPr="00F80650">
        <w:rPr>
          <w:rFonts w:ascii="Arial" w:hAnsi="Arial" w:cs="Arial"/>
          <w:b/>
          <w:bCs/>
        </w:rPr>
        <w:t>behaviours (SKEB)</w:t>
      </w:r>
      <w:r w:rsidRPr="00F80650">
        <w:rPr>
          <w:rFonts w:ascii="Arial" w:hAnsi="Arial" w:cs="Arial"/>
        </w:rPr>
        <w:t xml:space="preserve">, and requires all individuals carrying out </w:t>
      </w:r>
      <w:r>
        <w:rPr>
          <w:rFonts w:ascii="Arial" w:hAnsi="Arial" w:cs="Arial"/>
        </w:rPr>
        <w:t xml:space="preserve">any </w:t>
      </w:r>
      <w:r w:rsidRPr="00F80650">
        <w:rPr>
          <w:rFonts w:ascii="Arial" w:hAnsi="Arial" w:cs="Arial"/>
        </w:rPr>
        <w:t xml:space="preserve">design, construction </w:t>
      </w:r>
      <w:r>
        <w:rPr>
          <w:rFonts w:ascii="Arial" w:hAnsi="Arial" w:cs="Arial"/>
        </w:rPr>
        <w:t>or</w:t>
      </w:r>
      <w:r w:rsidRPr="00F80650">
        <w:rPr>
          <w:rFonts w:ascii="Arial" w:hAnsi="Arial" w:cs="Arial"/>
        </w:rPr>
        <w:t xml:space="preserve"> refurbishment work to be competent </w:t>
      </w:r>
      <w:r>
        <w:rPr>
          <w:rFonts w:ascii="Arial" w:hAnsi="Arial" w:cs="Arial"/>
        </w:rPr>
        <w:t xml:space="preserve">to undertake the </w:t>
      </w:r>
      <w:r w:rsidRPr="00F80650">
        <w:rPr>
          <w:rFonts w:ascii="Arial" w:hAnsi="Arial" w:cs="Arial"/>
        </w:rPr>
        <w:t>role</w:t>
      </w:r>
      <w:r>
        <w:rPr>
          <w:rFonts w:ascii="Arial" w:hAnsi="Arial" w:cs="Arial"/>
        </w:rPr>
        <w:t xml:space="preserve"> to which they are appointed</w:t>
      </w:r>
      <w:r w:rsidRPr="00F80650">
        <w:rPr>
          <w:rFonts w:ascii="Arial" w:hAnsi="Arial" w:cs="Arial"/>
        </w:rPr>
        <w:t>.</w:t>
      </w:r>
    </w:p>
    <w:p w14:paraId="4EFF39BA" w14:textId="77777777" w:rsidR="00962EE6" w:rsidRPr="00F80650" w:rsidRDefault="00962EE6" w:rsidP="00962EE6">
      <w:pPr>
        <w:rPr>
          <w:rFonts w:ascii="Arial" w:hAnsi="Arial" w:cs="Arial"/>
        </w:rPr>
      </w:pPr>
      <w:r w:rsidRPr="00F80650">
        <w:rPr>
          <w:rFonts w:ascii="Arial" w:hAnsi="Arial" w:cs="Arial"/>
        </w:rPr>
        <w:t xml:space="preserve">Organisations must also demonstrate that they have </w:t>
      </w:r>
      <w:r>
        <w:rPr>
          <w:rFonts w:ascii="Arial" w:hAnsi="Arial" w:cs="Arial"/>
        </w:rPr>
        <w:t>the ‘</w:t>
      </w:r>
      <w:r w:rsidRPr="00F80650">
        <w:rPr>
          <w:rFonts w:ascii="Arial" w:hAnsi="Arial" w:cs="Arial"/>
        </w:rPr>
        <w:t>organisational capability</w:t>
      </w:r>
      <w:r>
        <w:rPr>
          <w:rFonts w:ascii="Arial" w:hAnsi="Arial" w:cs="Arial"/>
        </w:rPr>
        <w:t>’,</w:t>
      </w:r>
      <w:r w:rsidRPr="00F80650">
        <w:rPr>
          <w:rFonts w:ascii="Arial" w:hAnsi="Arial" w:cs="Arial"/>
        </w:rPr>
        <w:t xml:space="preserve"> and it is a legal requirement for anyone appointing an individual or organisation to ensure that they meet</w:t>
      </w:r>
      <w:r>
        <w:rPr>
          <w:rFonts w:ascii="Arial" w:hAnsi="Arial" w:cs="Arial"/>
        </w:rPr>
        <w:t xml:space="preserve"> the</w:t>
      </w:r>
      <w:r w:rsidRPr="00F80650">
        <w:rPr>
          <w:rFonts w:ascii="Arial" w:hAnsi="Arial" w:cs="Arial"/>
        </w:rPr>
        <w:t xml:space="preserve"> requirements.</w:t>
      </w:r>
    </w:p>
    <w:p w14:paraId="128C9F87" w14:textId="312911B5" w:rsidR="00006105" w:rsidRPr="00F80650" w:rsidRDefault="00006105" w:rsidP="00006105">
      <w:pPr>
        <w:rPr>
          <w:rFonts w:ascii="Arial" w:hAnsi="Arial" w:cs="Arial"/>
        </w:rPr>
      </w:pPr>
      <w:r>
        <w:rPr>
          <w:rFonts w:ascii="Arial" w:hAnsi="Arial" w:cs="Arial"/>
        </w:rPr>
        <w:t xml:space="preserve">In October 2024, the Industry Competence Steering Group (ICSG) was formally </w:t>
      </w:r>
      <w:hyperlink r:id="rId14" w:history="1">
        <w:r w:rsidRPr="00BF3991">
          <w:rPr>
            <w:rStyle w:val="Hyperlink"/>
            <w:rFonts w:ascii="Arial" w:hAnsi="Arial" w:cs="Arial"/>
          </w:rPr>
          <w:t>launched</w:t>
        </w:r>
      </w:hyperlink>
      <w:r>
        <w:rPr>
          <w:rFonts w:ascii="Arial" w:hAnsi="Arial" w:cs="Arial"/>
        </w:rPr>
        <w:t xml:space="preserve"> as the updated structure to the Competence Steering Group.  Made up of 15 different working groups, representing all of Construction and the Built Environment, with the agreed goal of creating competence frameworks.  Sector Lead Group 10 in the Industry Competence Steering Group represents Installation and Maintenance and is nicknamed the Super Sector Programme.</w:t>
      </w:r>
    </w:p>
    <w:p w14:paraId="59572354" w14:textId="77777777" w:rsidR="007F3852" w:rsidRDefault="007F3852" w:rsidP="007F3852">
      <w:pPr>
        <w:rPr>
          <w:rFonts w:ascii="Arial" w:hAnsi="Arial" w:cs="Arial"/>
        </w:rPr>
      </w:pPr>
      <w:r>
        <w:rPr>
          <w:rFonts w:ascii="Arial" w:hAnsi="Arial" w:cs="Arial"/>
        </w:rPr>
        <w:t xml:space="preserve">For information on the Regulator, the Regulations, the Industry Competence Steering Group and Sector Lead Group 10, we suggest reviewing the Construction Leadership Council’s Competence Page:  </w:t>
      </w:r>
      <w:hyperlink r:id="rId15" w:history="1">
        <w:r w:rsidRPr="002872BE">
          <w:rPr>
            <w:rStyle w:val="Hyperlink"/>
            <w:rFonts w:ascii="Arial" w:hAnsi="Arial" w:cs="Arial"/>
          </w:rPr>
          <w:t>www.constructionleadershipcouncil.co.uk</w:t>
        </w:r>
      </w:hyperlink>
    </w:p>
    <w:p w14:paraId="00B69AE3" w14:textId="77777777" w:rsidR="00683AFC" w:rsidRDefault="00374C16" w:rsidP="00374C16">
      <w:pPr>
        <w:rPr>
          <w:rFonts w:ascii="Arial" w:hAnsi="Arial" w:cs="Arial"/>
        </w:rPr>
      </w:pPr>
      <w:r w:rsidRPr="00095CC9">
        <w:rPr>
          <w:rFonts w:ascii="Arial" w:hAnsi="Arial" w:cs="Arial"/>
        </w:rPr>
        <w:t xml:space="preserve">This report </w:t>
      </w:r>
      <w:r w:rsidR="00D1171C">
        <w:rPr>
          <w:rFonts w:ascii="Arial" w:hAnsi="Arial" w:cs="Arial"/>
        </w:rPr>
        <w:t xml:space="preserve">aims to create a strategy, and provide background for, </w:t>
      </w:r>
      <w:r w:rsidRPr="00095CC9">
        <w:rPr>
          <w:rFonts w:ascii="Arial" w:hAnsi="Arial" w:cs="Arial"/>
        </w:rPr>
        <w:t>the</w:t>
      </w:r>
      <w:r w:rsidR="00683AFC">
        <w:rPr>
          <w:rFonts w:ascii="Arial" w:hAnsi="Arial" w:cs="Arial"/>
        </w:rPr>
        <w:t xml:space="preserve"> creation of an agreed competence framework for the</w:t>
      </w:r>
      <w:r w:rsidRPr="00095CC9">
        <w:rPr>
          <w:rFonts w:ascii="Arial" w:hAnsi="Arial" w:cs="Arial"/>
        </w:rPr>
        <w:t xml:space="preserve"> </w:t>
      </w:r>
      <w:r w:rsidRPr="00095CC9">
        <w:rPr>
          <w:rFonts w:ascii="Arial" w:hAnsi="Arial" w:cs="Arial"/>
          <w:highlight w:val="yellow"/>
        </w:rPr>
        <w:t>insert sector name</w:t>
      </w:r>
      <w:r w:rsidRPr="00095CC9">
        <w:rPr>
          <w:rFonts w:ascii="Arial" w:hAnsi="Arial" w:cs="Arial"/>
        </w:rPr>
        <w:t xml:space="preserve"> sector</w:t>
      </w:r>
      <w:r w:rsidR="00683AFC">
        <w:rPr>
          <w:rFonts w:ascii="Arial" w:hAnsi="Arial" w:cs="Arial"/>
        </w:rPr>
        <w:t>.</w:t>
      </w:r>
    </w:p>
    <w:p w14:paraId="690789A1" w14:textId="77777777" w:rsidR="00E607AB" w:rsidRPr="00095CC9" w:rsidRDefault="00E607AB" w:rsidP="00291737">
      <w:pPr>
        <w:rPr>
          <w:rFonts w:ascii="Arial" w:hAnsi="Arial" w:cs="Arial"/>
        </w:rPr>
      </w:pPr>
    </w:p>
    <w:p w14:paraId="70F0638C" w14:textId="77777777" w:rsidR="00E607AB" w:rsidRPr="00095CC9" w:rsidRDefault="00E607AB" w:rsidP="00291737">
      <w:pPr>
        <w:rPr>
          <w:rFonts w:ascii="Arial" w:hAnsi="Arial" w:cs="Arial"/>
        </w:rPr>
        <w:sectPr w:rsidR="00E607AB" w:rsidRPr="00095CC9" w:rsidSect="00E607AB">
          <w:pgSz w:w="11906" w:h="16838" w:code="9"/>
          <w:pgMar w:top="720" w:right="720" w:bottom="720" w:left="720" w:header="709" w:footer="709" w:gutter="0"/>
          <w:cols w:space="708"/>
          <w:docGrid w:linePitch="360"/>
        </w:sectPr>
      </w:pPr>
    </w:p>
    <w:p w14:paraId="551DBF95" w14:textId="77777777" w:rsidR="00E607AB" w:rsidRPr="00095CC9" w:rsidRDefault="00E607AB" w:rsidP="00291737">
      <w:pPr>
        <w:rPr>
          <w:rFonts w:ascii="Arial" w:hAnsi="Arial" w:cs="Arial"/>
        </w:rPr>
      </w:pPr>
    </w:p>
    <w:p w14:paraId="7AFA8A5F" w14:textId="481E4059" w:rsidR="00E607AB" w:rsidRPr="00095CC9" w:rsidRDefault="00E607AB" w:rsidP="005C73DF">
      <w:pPr>
        <w:pStyle w:val="Heading1"/>
        <w:numPr>
          <w:ilvl w:val="0"/>
          <w:numId w:val="1"/>
        </w:numPr>
        <w:rPr>
          <w:rFonts w:ascii="Arial" w:hAnsi="Arial" w:cs="Arial"/>
          <w:sz w:val="22"/>
          <w:szCs w:val="22"/>
        </w:rPr>
      </w:pPr>
      <w:bookmarkStart w:id="2" w:name="_Toc187676482"/>
      <w:r w:rsidRPr="00095CC9">
        <w:rPr>
          <w:rFonts w:ascii="Arial" w:hAnsi="Arial" w:cs="Arial"/>
          <w:sz w:val="22"/>
          <w:szCs w:val="22"/>
        </w:rPr>
        <w:t>Sector Overview:</w:t>
      </w:r>
      <w:bookmarkEnd w:id="2"/>
    </w:p>
    <w:p w14:paraId="252B4809" w14:textId="7C638197" w:rsidR="00E607AB" w:rsidRPr="00D6351B" w:rsidRDefault="0092797D" w:rsidP="00291737">
      <w:pPr>
        <w:rPr>
          <w:rFonts w:ascii="Arial" w:hAnsi="Arial" w:cs="Arial"/>
          <w:i/>
          <w:iCs/>
        </w:rPr>
      </w:pPr>
      <w:r w:rsidRPr="00D6351B">
        <w:rPr>
          <w:rFonts w:ascii="Arial" w:hAnsi="Arial" w:cs="Arial"/>
          <w:i/>
          <w:iCs/>
        </w:rPr>
        <w:t xml:space="preserve">Use this space to outline the background and any relevant history to the </w:t>
      </w:r>
      <w:r w:rsidR="00156863" w:rsidRPr="00D6351B">
        <w:rPr>
          <w:rFonts w:ascii="Arial" w:hAnsi="Arial" w:cs="Arial"/>
          <w:i/>
          <w:iCs/>
        </w:rPr>
        <w:t>Competence</w:t>
      </w:r>
      <w:r w:rsidRPr="00D6351B">
        <w:rPr>
          <w:rFonts w:ascii="Arial" w:hAnsi="Arial" w:cs="Arial"/>
          <w:i/>
          <w:iCs/>
        </w:rPr>
        <w:t xml:space="preserve"> Framework. Note any key reports or documents that were referred to and note any key decisions made and why. This document allows a reader to understand the journey that the development of the Competence Framework took and allows you the opportunity to </w:t>
      </w:r>
      <w:r w:rsidR="00156863" w:rsidRPr="00D6351B">
        <w:rPr>
          <w:rFonts w:ascii="Arial" w:hAnsi="Arial" w:cs="Arial"/>
          <w:i/>
          <w:iCs/>
        </w:rPr>
        <w:t>detail</w:t>
      </w:r>
      <w:r w:rsidRPr="00D6351B">
        <w:rPr>
          <w:rFonts w:ascii="Arial" w:hAnsi="Arial" w:cs="Arial"/>
          <w:i/>
          <w:iCs/>
        </w:rPr>
        <w:t xml:space="preserve"> that journey for anyone picking up the Competence Framework for the first time.</w:t>
      </w:r>
    </w:p>
    <w:p w14:paraId="0DCD95C3" w14:textId="0EBA7CD1" w:rsidR="00B9172C" w:rsidRDefault="00B9172C" w:rsidP="00291737">
      <w:pPr>
        <w:rPr>
          <w:rFonts w:ascii="Arial" w:hAnsi="Arial" w:cs="Arial"/>
        </w:rPr>
      </w:pPr>
      <w:r>
        <w:rPr>
          <w:rFonts w:ascii="Arial" w:hAnsi="Arial" w:cs="Arial"/>
        </w:rPr>
        <w:t xml:space="preserve">(text in </w:t>
      </w:r>
      <w:r w:rsidRPr="00B9172C">
        <w:rPr>
          <w:rFonts w:ascii="Arial" w:hAnsi="Arial" w:cs="Arial"/>
          <w:i/>
          <w:iCs/>
        </w:rPr>
        <w:t>italics</w:t>
      </w:r>
      <w:r>
        <w:rPr>
          <w:rFonts w:ascii="Arial" w:hAnsi="Arial" w:cs="Arial"/>
        </w:rPr>
        <w:t xml:space="preserve"> is to demonstrate an example of information and should not be used)</w:t>
      </w:r>
    </w:p>
    <w:p w14:paraId="1B8867A1" w14:textId="0E08231E" w:rsidR="0092797D" w:rsidRPr="0075099C" w:rsidRDefault="0092797D" w:rsidP="00291737">
      <w:pPr>
        <w:rPr>
          <w:rFonts w:ascii="Arial" w:hAnsi="Arial" w:cs="Arial"/>
          <w:i/>
          <w:iCs/>
        </w:rPr>
      </w:pPr>
      <w:r>
        <w:rPr>
          <w:rFonts w:ascii="Arial" w:hAnsi="Arial" w:cs="Arial"/>
          <w:i/>
          <w:iCs/>
        </w:rPr>
        <w:t>A lot of this initial information can be pulled from the Questionnaire document:</w:t>
      </w:r>
    </w:p>
    <w:tbl>
      <w:tblPr>
        <w:tblStyle w:val="TableGridLight"/>
        <w:tblW w:w="14029" w:type="dxa"/>
        <w:tblLook w:val="04A0" w:firstRow="1" w:lastRow="0" w:firstColumn="1" w:lastColumn="0" w:noHBand="0" w:noVBand="1"/>
      </w:tblPr>
      <w:tblGrid>
        <w:gridCol w:w="2972"/>
        <w:gridCol w:w="11057"/>
      </w:tblGrid>
      <w:tr w:rsidR="00E607AB" w:rsidRPr="00095CC9" w14:paraId="177BCC5A" w14:textId="77777777">
        <w:tc>
          <w:tcPr>
            <w:tcW w:w="2972" w:type="dxa"/>
          </w:tcPr>
          <w:p w14:paraId="4676160F" w14:textId="77777777" w:rsidR="00E607AB" w:rsidRPr="00095CC9" w:rsidRDefault="00E607AB">
            <w:pPr>
              <w:rPr>
                <w:rFonts w:ascii="Arial" w:hAnsi="Arial" w:cs="Arial"/>
              </w:rPr>
            </w:pPr>
            <w:r w:rsidRPr="00095CC9">
              <w:rPr>
                <w:rFonts w:ascii="Arial" w:hAnsi="Arial" w:cs="Arial"/>
              </w:rPr>
              <w:t>Installer Sector</w:t>
            </w:r>
          </w:p>
        </w:tc>
        <w:tc>
          <w:tcPr>
            <w:tcW w:w="11057" w:type="dxa"/>
          </w:tcPr>
          <w:p w14:paraId="3B391232" w14:textId="54640158" w:rsidR="00E607AB" w:rsidRPr="00B9172C" w:rsidRDefault="0092797D">
            <w:pPr>
              <w:rPr>
                <w:rFonts w:ascii="Arial" w:hAnsi="Arial" w:cs="Arial"/>
                <w:b/>
                <w:bCs/>
                <w:i/>
                <w:iCs/>
              </w:rPr>
            </w:pPr>
            <w:r>
              <w:rPr>
                <w:rFonts w:ascii="Arial" w:hAnsi="Arial" w:cs="Arial"/>
                <w:b/>
                <w:bCs/>
                <w:i/>
                <w:iCs/>
              </w:rPr>
              <w:t xml:space="preserve">Example: </w:t>
            </w:r>
            <w:r w:rsidR="00E607AB" w:rsidRPr="00B9172C">
              <w:rPr>
                <w:rFonts w:ascii="Arial" w:hAnsi="Arial" w:cs="Arial"/>
                <w:b/>
                <w:bCs/>
                <w:i/>
                <w:iCs/>
              </w:rPr>
              <w:t>Fire Stopping Specialists</w:t>
            </w:r>
          </w:p>
        </w:tc>
      </w:tr>
      <w:tr w:rsidR="00E607AB" w:rsidRPr="00095CC9" w14:paraId="2DD5E306" w14:textId="77777777">
        <w:tc>
          <w:tcPr>
            <w:tcW w:w="2972" w:type="dxa"/>
            <w:shd w:val="clear" w:color="auto" w:fill="auto"/>
          </w:tcPr>
          <w:p w14:paraId="035B576A" w14:textId="77777777" w:rsidR="00E607AB" w:rsidRPr="00095CC9" w:rsidRDefault="00E607AB">
            <w:pPr>
              <w:rPr>
                <w:rFonts w:ascii="Arial" w:hAnsi="Arial" w:cs="Arial"/>
              </w:rPr>
            </w:pPr>
            <w:r w:rsidRPr="00095CC9">
              <w:rPr>
                <w:rFonts w:ascii="Arial" w:hAnsi="Arial" w:cs="Arial"/>
              </w:rPr>
              <w:t>Super Sector</w:t>
            </w:r>
          </w:p>
        </w:tc>
        <w:tc>
          <w:tcPr>
            <w:tcW w:w="11057" w:type="dxa"/>
            <w:shd w:val="clear" w:color="auto" w:fill="auto"/>
          </w:tcPr>
          <w:p w14:paraId="62353241" w14:textId="77777777" w:rsidR="00E607AB" w:rsidRPr="00B9172C" w:rsidRDefault="00E607AB">
            <w:pPr>
              <w:rPr>
                <w:rFonts w:ascii="Arial" w:hAnsi="Arial" w:cs="Arial"/>
                <w:i/>
                <w:iCs/>
              </w:rPr>
            </w:pPr>
            <w:r w:rsidRPr="00B9172C">
              <w:rPr>
                <w:rFonts w:ascii="Arial" w:hAnsi="Arial" w:cs="Arial"/>
                <w:i/>
                <w:iCs/>
              </w:rPr>
              <w:t>Envelope – but also with significant involvement and interfaces with Structures, Interiors and Engineering Services</w:t>
            </w:r>
          </w:p>
        </w:tc>
      </w:tr>
      <w:tr w:rsidR="00E607AB" w:rsidRPr="00095CC9" w14:paraId="62A4FDB4" w14:textId="77777777">
        <w:tc>
          <w:tcPr>
            <w:tcW w:w="2972" w:type="dxa"/>
            <w:shd w:val="clear" w:color="auto" w:fill="auto"/>
          </w:tcPr>
          <w:p w14:paraId="017316E1" w14:textId="77777777" w:rsidR="00E607AB" w:rsidRPr="00095CC9" w:rsidRDefault="00E607AB">
            <w:pPr>
              <w:rPr>
                <w:rFonts w:ascii="Arial" w:hAnsi="Arial" w:cs="Arial"/>
              </w:rPr>
            </w:pPr>
            <w:r w:rsidRPr="00095CC9">
              <w:rPr>
                <w:rFonts w:ascii="Arial" w:hAnsi="Arial" w:cs="Arial"/>
              </w:rPr>
              <w:t>Super Sector Function</w:t>
            </w:r>
          </w:p>
        </w:tc>
        <w:tc>
          <w:tcPr>
            <w:tcW w:w="11057" w:type="dxa"/>
            <w:shd w:val="clear" w:color="auto" w:fill="auto"/>
          </w:tcPr>
          <w:p w14:paraId="374163F8" w14:textId="77777777" w:rsidR="00E607AB" w:rsidRPr="00B9172C" w:rsidRDefault="00E607AB">
            <w:pPr>
              <w:rPr>
                <w:rFonts w:ascii="Arial" w:hAnsi="Arial" w:cs="Arial"/>
                <w:i/>
                <w:iCs/>
              </w:rPr>
            </w:pPr>
            <w:r w:rsidRPr="00B9172C">
              <w:rPr>
                <w:rFonts w:ascii="Arial" w:hAnsi="Arial" w:cs="Arial"/>
                <w:i/>
                <w:iCs/>
              </w:rPr>
              <w:t>Cladding – but also with significant involvement and interfaces with other functions, both inside and outside Envelope</w:t>
            </w:r>
          </w:p>
        </w:tc>
      </w:tr>
      <w:tr w:rsidR="00E607AB" w:rsidRPr="00095CC9" w14:paraId="108ABB1F" w14:textId="77777777">
        <w:tc>
          <w:tcPr>
            <w:tcW w:w="2972" w:type="dxa"/>
          </w:tcPr>
          <w:p w14:paraId="6EA5DB2C" w14:textId="77777777" w:rsidR="00E607AB" w:rsidRPr="00095CC9" w:rsidRDefault="00E607AB">
            <w:pPr>
              <w:rPr>
                <w:rFonts w:ascii="Arial" w:hAnsi="Arial" w:cs="Arial"/>
              </w:rPr>
            </w:pPr>
            <w:r w:rsidRPr="00095CC9">
              <w:rPr>
                <w:rFonts w:ascii="Arial" w:hAnsi="Arial" w:cs="Arial"/>
              </w:rPr>
              <w:t>Approx. no. enterprises (including extent of HRB involvement)</w:t>
            </w:r>
          </w:p>
        </w:tc>
        <w:tc>
          <w:tcPr>
            <w:tcW w:w="11057" w:type="dxa"/>
          </w:tcPr>
          <w:p w14:paraId="6BD61FB1" w14:textId="77777777" w:rsidR="00E607AB" w:rsidRPr="00B9172C" w:rsidRDefault="00E607AB">
            <w:pPr>
              <w:rPr>
                <w:rFonts w:ascii="Arial" w:hAnsi="Arial" w:cs="Arial"/>
                <w:i/>
                <w:iCs/>
              </w:rPr>
            </w:pPr>
            <w:r w:rsidRPr="00B9172C">
              <w:rPr>
                <w:rFonts w:ascii="Arial" w:hAnsi="Arial" w:cs="Arial"/>
                <w:i/>
                <w:iCs/>
              </w:rPr>
              <w:t>Approximately 500 specialist businesses, nearly all of which are likely to have at least some involvement with HRBs. Many fire stopping specialist businesses will also carry out other forms of passive and even active fire protection work.</w:t>
            </w:r>
          </w:p>
        </w:tc>
      </w:tr>
      <w:tr w:rsidR="00E607AB" w:rsidRPr="00095CC9" w14:paraId="2CAD3615" w14:textId="77777777">
        <w:tc>
          <w:tcPr>
            <w:tcW w:w="2972" w:type="dxa"/>
          </w:tcPr>
          <w:p w14:paraId="35394471" w14:textId="77777777" w:rsidR="00E607AB" w:rsidRPr="00095CC9" w:rsidRDefault="00E607AB">
            <w:pPr>
              <w:rPr>
                <w:rFonts w:ascii="Arial" w:hAnsi="Arial" w:cs="Arial"/>
              </w:rPr>
            </w:pPr>
            <w:r w:rsidRPr="00095CC9">
              <w:rPr>
                <w:rFonts w:ascii="Arial" w:hAnsi="Arial" w:cs="Arial"/>
              </w:rPr>
              <w:t>Approx. no. individuals (including extent of HRB involvement)</w:t>
            </w:r>
          </w:p>
        </w:tc>
        <w:tc>
          <w:tcPr>
            <w:tcW w:w="11057" w:type="dxa"/>
          </w:tcPr>
          <w:p w14:paraId="71037505" w14:textId="77777777" w:rsidR="00E607AB" w:rsidRPr="00B9172C" w:rsidRDefault="00E607AB">
            <w:pPr>
              <w:rPr>
                <w:rFonts w:ascii="Arial" w:hAnsi="Arial" w:cs="Arial"/>
                <w:i/>
                <w:iCs/>
              </w:rPr>
            </w:pPr>
            <w:r w:rsidRPr="00B9172C">
              <w:rPr>
                <w:rFonts w:ascii="Arial" w:hAnsi="Arial" w:cs="Arial"/>
                <w:i/>
                <w:iCs/>
              </w:rPr>
              <w:t>Estimated to be around 50,000 workers, of which 10%/ 5,000 approx. are thought to be regularly involved with HRBs. Most operatives do the complete range or almost complete range of firestopping. Some businesses have 100% direct labour, but most use a mixture of direct labour and subcontract labour.</w:t>
            </w:r>
          </w:p>
        </w:tc>
      </w:tr>
    </w:tbl>
    <w:p w14:paraId="0C008173" w14:textId="77777777" w:rsidR="00E607AB" w:rsidRPr="00095CC9" w:rsidRDefault="00E607AB" w:rsidP="00E607AB">
      <w:pPr>
        <w:rPr>
          <w:rFonts w:ascii="Arial" w:hAnsi="Arial" w:cs="Arial"/>
        </w:rPr>
      </w:pPr>
    </w:p>
    <w:tbl>
      <w:tblPr>
        <w:tblStyle w:val="TableGridLight"/>
        <w:tblW w:w="14029" w:type="dxa"/>
        <w:tblLook w:val="04A0" w:firstRow="1" w:lastRow="0" w:firstColumn="1" w:lastColumn="0" w:noHBand="0" w:noVBand="1"/>
      </w:tblPr>
      <w:tblGrid>
        <w:gridCol w:w="2972"/>
        <w:gridCol w:w="11057"/>
      </w:tblGrid>
      <w:tr w:rsidR="00E607AB" w:rsidRPr="00095CC9" w14:paraId="25A0E31C" w14:textId="77777777">
        <w:tc>
          <w:tcPr>
            <w:tcW w:w="2972" w:type="dxa"/>
          </w:tcPr>
          <w:p w14:paraId="0A72C6A3" w14:textId="77777777" w:rsidR="00E607AB" w:rsidRPr="00095CC9" w:rsidRDefault="00E607AB">
            <w:pPr>
              <w:rPr>
                <w:rFonts w:ascii="Arial" w:hAnsi="Arial" w:cs="Arial"/>
              </w:rPr>
            </w:pPr>
            <w:r w:rsidRPr="00095CC9">
              <w:rPr>
                <w:rFonts w:ascii="Arial" w:hAnsi="Arial" w:cs="Arial"/>
              </w:rPr>
              <w:t xml:space="preserve">Organisational capability/ competence arrangements </w:t>
            </w:r>
          </w:p>
        </w:tc>
        <w:tc>
          <w:tcPr>
            <w:tcW w:w="11057" w:type="dxa"/>
          </w:tcPr>
          <w:p w14:paraId="703B14FB" w14:textId="23531C31" w:rsidR="00E607AB" w:rsidRPr="00B9172C" w:rsidRDefault="00E607AB">
            <w:pPr>
              <w:rPr>
                <w:rFonts w:ascii="Arial" w:hAnsi="Arial" w:cs="Arial"/>
                <w:i/>
                <w:iCs/>
              </w:rPr>
            </w:pPr>
          </w:p>
        </w:tc>
      </w:tr>
    </w:tbl>
    <w:p w14:paraId="283581D0" w14:textId="77777777" w:rsidR="00E607AB" w:rsidRPr="00095CC9" w:rsidRDefault="00E607AB" w:rsidP="00E607AB">
      <w:pPr>
        <w:rPr>
          <w:rFonts w:ascii="Arial" w:hAnsi="Arial" w:cs="Arial"/>
        </w:rPr>
      </w:pPr>
    </w:p>
    <w:tbl>
      <w:tblPr>
        <w:tblStyle w:val="TableGridLight"/>
        <w:tblW w:w="14029" w:type="dxa"/>
        <w:tblLook w:val="04A0" w:firstRow="1" w:lastRow="0" w:firstColumn="1" w:lastColumn="0" w:noHBand="0" w:noVBand="1"/>
      </w:tblPr>
      <w:tblGrid>
        <w:gridCol w:w="2972"/>
        <w:gridCol w:w="11057"/>
      </w:tblGrid>
      <w:tr w:rsidR="00E607AB" w:rsidRPr="00095CC9" w14:paraId="58471F6A" w14:textId="77777777">
        <w:tc>
          <w:tcPr>
            <w:tcW w:w="2972" w:type="dxa"/>
          </w:tcPr>
          <w:p w14:paraId="27C1DDD5" w14:textId="77777777" w:rsidR="00E607AB" w:rsidRPr="00095CC9" w:rsidRDefault="00E607AB">
            <w:pPr>
              <w:rPr>
                <w:rFonts w:ascii="Arial" w:hAnsi="Arial" w:cs="Arial"/>
              </w:rPr>
            </w:pPr>
            <w:r w:rsidRPr="00095CC9">
              <w:rPr>
                <w:rFonts w:ascii="Arial" w:hAnsi="Arial" w:cs="Arial"/>
              </w:rPr>
              <w:t>Framework owners</w:t>
            </w:r>
          </w:p>
        </w:tc>
        <w:tc>
          <w:tcPr>
            <w:tcW w:w="11057" w:type="dxa"/>
          </w:tcPr>
          <w:p w14:paraId="536802FA" w14:textId="77777777" w:rsidR="00E607AB" w:rsidRPr="00B9172C" w:rsidRDefault="00E607AB">
            <w:pPr>
              <w:rPr>
                <w:rFonts w:ascii="Arial" w:hAnsi="Arial" w:cs="Arial"/>
                <w:i/>
                <w:iCs/>
              </w:rPr>
            </w:pPr>
            <w:r w:rsidRPr="00B9172C">
              <w:rPr>
                <w:rFonts w:ascii="Arial" w:hAnsi="Arial" w:cs="Arial"/>
                <w:i/>
                <w:iCs/>
              </w:rPr>
              <w:t>Sector competence framework group, established and supported by the Association of Specialist Fire Protection (ASFP), but also with wider sector representation, including input from the Federation of Interior Specialists (FIS), British Woodworking Federation (BWF) and Institution of Fire Engineers (IFE).</w:t>
            </w:r>
          </w:p>
        </w:tc>
      </w:tr>
      <w:tr w:rsidR="00E607AB" w:rsidRPr="00095CC9" w14:paraId="56C24111" w14:textId="77777777">
        <w:tc>
          <w:tcPr>
            <w:tcW w:w="2972" w:type="dxa"/>
          </w:tcPr>
          <w:p w14:paraId="3B8D033E" w14:textId="77777777" w:rsidR="00E607AB" w:rsidRPr="00095CC9" w:rsidRDefault="00E607AB">
            <w:pPr>
              <w:rPr>
                <w:rFonts w:ascii="Arial" w:hAnsi="Arial" w:cs="Arial"/>
              </w:rPr>
            </w:pPr>
            <w:r w:rsidRPr="00095CC9">
              <w:rPr>
                <w:rFonts w:ascii="Arial" w:hAnsi="Arial" w:cs="Arial"/>
              </w:rPr>
              <w:t>Contact(s)</w:t>
            </w:r>
          </w:p>
        </w:tc>
        <w:tc>
          <w:tcPr>
            <w:tcW w:w="11057" w:type="dxa"/>
          </w:tcPr>
          <w:p w14:paraId="2BC24448" w14:textId="1CF3F837" w:rsidR="00E607AB" w:rsidRPr="00B9172C" w:rsidRDefault="00E607AB">
            <w:pPr>
              <w:rPr>
                <w:rFonts w:ascii="Arial" w:hAnsi="Arial" w:cs="Arial"/>
                <w:i/>
                <w:iCs/>
              </w:rPr>
            </w:pPr>
          </w:p>
        </w:tc>
      </w:tr>
      <w:tr w:rsidR="00E607AB" w:rsidRPr="00095CC9" w14:paraId="66AD4D9B" w14:textId="77777777">
        <w:tc>
          <w:tcPr>
            <w:tcW w:w="2972" w:type="dxa"/>
          </w:tcPr>
          <w:p w14:paraId="75470AE1" w14:textId="77777777" w:rsidR="00E607AB" w:rsidRPr="00095CC9" w:rsidRDefault="00E607AB">
            <w:pPr>
              <w:rPr>
                <w:rFonts w:ascii="Arial" w:hAnsi="Arial" w:cs="Arial"/>
              </w:rPr>
            </w:pPr>
            <w:r w:rsidRPr="00095CC9">
              <w:rPr>
                <w:rFonts w:ascii="Arial" w:hAnsi="Arial" w:cs="Arial"/>
              </w:rPr>
              <w:t>Broader sector consultation and endorsement</w:t>
            </w:r>
          </w:p>
        </w:tc>
        <w:tc>
          <w:tcPr>
            <w:tcW w:w="11057" w:type="dxa"/>
          </w:tcPr>
          <w:p w14:paraId="4179548C" w14:textId="77777777" w:rsidR="00E607AB" w:rsidRPr="00B9172C" w:rsidRDefault="00E607AB">
            <w:pPr>
              <w:rPr>
                <w:rFonts w:ascii="Arial" w:hAnsi="Arial" w:cs="Arial"/>
                <w:i/>
                <w:iCs/>
              </w:rPr>
            </w:pPr>
            <w:r w:rsidRPr="00B9172C">
              <w:rPr>
                <w:rFonts w:ascii="Arial" w:hAnsi="Arial" w:cs="Arial"/>
                <w:i/>
                <w:iCs/>
              </w:rPr>
              <w:t>[Public consultation c. June 2023.]</w:t>
            </w:r>
          </w:p>
        </w:tc>
      </w:tr>
    </w:tbl>
    <w:p w14:paraId="21872FD7" w14:textId="77777777" w:rsidR="00E607AB" w:rsidRPr="00095CC9" w:rsidRDefault="00E607AB" w:rsidP="00E607AB">
      <w:pPr>
        <w:rPr>
          <w:rFonts w:ascii="Arial" w:hAnsi="Arial" w:cs="Arial"/>
        </w:rPr>
      </w:pPr>
    </w:p>
    <w:tbl>
      <w:tblPr>
        <w:tblStyle w:val="TableGridLight"/>
        <w:tblW w:w="14029" w:type="dxa"/>
        <w:tblLook w:val="04A0" w:firstRow="1" w:lastRow="0" w:firstColumn="1" w:lastColumn="0" w:noHBand="0" w:noVBand="1"/>
      </w:tblPr>
      <w:tblGrid>
        <w:gridCol w:w="2972"/>
        <w:gridCol w:w="11057"/>
      </w:tblGrid>
      <w:tr w:rsidR="00E607AB" w:rsidRPr="00095CC9" w14:paraId="362C702C" w14:textId="77777777">
        <w:tc>
          <w:tcPr>
            <w:tcW w:w="2972" w:type="dxa"/>
          </w:tcPr>
          <w:p w14:paraId="5A432099" w14:textId="77777777" w:rsidR="00E607AB" w:rsidRPr="00095CC9" w:rsidRDefault="00E607AB">
            <w:pPr>
              <w:rPr>
                <w:rFonts w:ascii="Arial" w:hAnsi="Arial" w:cs="Arial"/>
              </w:rPr>
            </w:pPr>
            <w:r w:rsidRPr="00095CC9">
              <w:rPr>
                <w:rFonts w:ascii="Arial" w:hAnsi="Arial" w:cs="Arial"/>
              </w:rPr>
              <w:t xml:space="preserve">Sector scope (+ any exclusions) </w:t>
            </w:r>
          </w:p>
        </w:tc>
        <w:tc>
          <w:tcPr>
            <w:tcW w:w="11057" w:type="dxa"/>
          </w:tcPr>
          <w:p w14:paraId="5C467116" w14:textId="177ACA16" w:rsidR="00E607AB" w:rsidRPr="00B9172C" w:rsidRDefault="000E6DD0">
            <w:pPr>
              <w:rPr>
                <w:rFonts w:ascii="Arial" w:hAnsi="Arial" w:cs="Arial"/>
                <w:i/>
                <w:iCs/>
              </w:rPr>
            </w:pPr>
            <w:r w:rsidRPr="00B9172C">
              <w:rPr>
                <w:rFonts w:ascii="Arial" w:hAnsi="Arial" w:cs="Arial"/>
                <w:i/>
                <w:iCs/>
              </w:rPr>
              <w:t>Seventeen separate</w:t>
            </w:r>
            <w:r w:rsidR="00E607AB" w:rsidRPr="00B9172C">
              <w:rPr>
                <w:rFonts w:ascii="Arial" w:hAnsi="Arial" w:cs="Arial"/>
                <w:i/>
                <w:iCs/>
              </w:rPr>
              <w:t xml:space="preserve"> fire stopping categories set out below. </w:t>
            </w:r>
            <w:r w:rsidR="00E607AB" w:rsidRPr="00B9172C">
              <w:rPr>
                <w:rFonts w:ascii="Arial" w:hAnsi="Arial" w:cs="Arial"/>
                <w:i/>
                <w:iCs/>
                <w:highlight w:val="yellow"/>
              </w:rPr>
              <w:t>No exclusions?</w:t>
            </w:r>
          </w:p>
          <w:p w14:paraId="156D3B3A"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Flexible (non-mechanical) cavity barriers</w:t>
            </w:r>
          </w:p>
          <w:p w14:paraId="1A85D892"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Small cavity barriers</w:t>
            </w:r>
          </w:p>
          <w:p w14:paraId="1BD20ADE"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Pipe collars/ pipe wraps</w:t>
            </w:r>
          </w:p>
          <w:p w14:paraId="63F7B878"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High pressure exerting sealants</w:t>
            </w:r>
          </w:p>
          <w:p w14:paraId="316CBAEC"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Ablative coated batt and mastic systems</w:t>
            </w:r>
          </w:p>
          <w:p w14:paraId="334BB5B8"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Sealant / mastic coatings</w:t>
            </w:r>
          </w:p>
          <w:p w14:paraId="7A872058"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Fire resistant mortars</w:t>
            </w:r>
          </w:p>
          <w:p w14:paraId="2CF0BB44"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Pre-formed elastomeric seals (linear joint seals)</w:t>
            </w:r>
          </w:p>
          <w:p w14:paraId="2A4CFDBD"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Bags/pillows/cushions</w:t>
            </w:r>
          </w:p>
          <w:p w14:paraId="66AF13EC"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Plugs/blocks</w:t>
            </w:r>
          </w:p>
          <w:p w14:paraId="659C43E3"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 xml:space="preserve">Curtain wall seals (slab edge details in </w:t>
            </w:r>
            <w:proofErr w:type="spellStart"/>
            <w:r w:rsidRPr="00B9172C">
              <w:rPr>
                <w:rFonts w:ascii="Arial" w:hAnsi="Arial" w:cs="Arial"/>
                <w:i/>
                <w:iCs/>
              </w:rPr>
              <w:t>non structural</w:t>
            </w:r>
            <w:proofErr w:type="spellEnd"/>
            <w:r w:rsidRPr="00B9172C">
              <w:rPr>
                <w:rFonts w:ascii="Arial" w:hAnsi="Arial" w:cs="Arial"/>
                <w:i/>
                <w:iCs/>
              </w:rPr>
              <w:t xml:space="preserve"> curtain walling)</w:t>
            </w:r>
          </w:p>
          <w:p w14:paraId="36E53EAC"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Cavity barriers (open state and closed state) within external rainscreen / façade systems</w:t>
            </w:r>
          </w:p>
          <w:p w14:paraId="13A212D8"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Stone wool mineral fibre components</w:t>
            </w:r>
          </w:p>
          <w:p w14:paraId="4BB9B173"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Aerosol applied fire resisting foam</w:t>
            </w:r>
          </w:p>
          <w:p w14:paraId="2DD95F79"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Applicator applied expanding fire resisting sealant</w:t>
            </w:r>
          </w:p>
          <w:p w14:paraId="07305E81"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Cable transit systems</w:t>
            </w:r>
          </w:p>
          <w:p w14:paraId="65A64185" w14:textId="77777777" w:rsidR="00E607AB" w:rsidRPr="00B9172C" w:rsidRDefault="00E607AB" w:rsidP="005C73DF">
            <w:pPr>
              <w:pStyle w:val="ListParagraph"/>
              <w:numPr>
                <w:ilvl w:val="0"/>
                <w:numId w:val="5"/>
              </w:numPr>
              <w:rPr>
                <w:rFonts w:ascii="Arial" w:hAnsi="Arial" w:cs="Arial"/>
                <w:i/>
                <w:iCs/>
              </w:rPr>
            </w:pPr>
            <w:r w:rsidRPr="00B9172C">
              <w:rPr>
                <w:rFonts w:ascii="Arial" w:hAnsi="Arial" w:cs="Arial"/>
                <w:i/>
                <w:iCs/>
              </w:rPr>
              <w:t xml:space="preserve">Socket fillers and light fitting covers. </w:t>
            </w:r>
          </w:p>
        </w:tc>
      </w:tr>
      <w:tr w:rsidR="00E607AB" w:rsidRPr="00095CC9" w14:paraId="1AA76649" w14:textId="77777777">
        <w:tc>
          <w:tcPr>
            <w:tcW w:w="2972" w:type="dxa"/>
          </w:tcPr>
          <w:p w14:paraId="61D80E31" w14:textId="77777777" w:rsidR="00E607AB" w:rsidRPr="00095CC9" w:rsidRDefault="00E607AB">
            <w:pPr>
              <w:rPr>
                <w:rFonts w:ascii="Arial" w:hAnsi="Arial" w:cs="Arial"/>
              </w:rPr>
            </w:pPr>
            <w:bookmarkStart w:id="3" w:name="_Hlk137552264"/>
            <w:r w:rsidRPr="00095CC9">
              <w:rPr>
                <w:rFonts w:ascii="Arial" w:hAnsi="Arial" w:cs="Arial"/>
              </w:rPr>
              <w:t>Applicable SIC code(s)</w:t>
            </w:r>
          </w:p>
        </w:tc>
        <w:tc>
          <w:tcPr>
            <w:tcW w:w="11057" w:type="dxa"/>
          </w:tcPr>
          <w:p w14:paraId="38A54F35" w14:textId="77777777" w:rsidR="00E607AB" w:rsidRPr="00B9172C" w:rsidRDefault="00E607AB">
            <w:pPr>
              <w:rPr>
                <w:rFonts w:ascii="Arial" w:hAnsi="Arial" w:cs="Arial"/>
                <w:i/>
                <w:iCs/>
              </w:rPr>
            </w:pPr>
            <w:r w:rsidRPr="00B9172C">
              <w:rPr>
                <w:rFonts w:ascii="Arial" w:hAnsi="Arial" w:cs="Arial"/>
                <w:i/>
                <w:iCs/>
              </w:rPr>
              <w:t>No readily applicable SIC code(s) available. Possible that businesses in the sector categorised under any one of a number of residual codes – including, for example:</w:t>
            </w:r>
          </w:p>
          <w:p w14:paraId="38DC8330" w14:textId="77777777" w:rsidR="00E607AB" w:rsidRPr="00B9172C" w:rsidRDefault="00E607AB" w:rsidP="005C73DF">
            <w:pPr>
              <w:pStyle w:val="ListParagraph"/>
              <w:numPr>
                <w:ilvl w:val="0"/>
                <w:numId w:val="6"/>
              </w:numPr>
              <w:rPr>
                <w:rFonts w:ascii="Arial" w:hAnsi="Arial" w:cs="Arial"/>
                <w:i/>
                <w:iCs/>
              </w:rPr>
            </w:pPr>
            <w:r w:rsidRPr="00B9172C">
              <w:rPr>
                <w:rFonts w:ascii="Arial" w:hAnsi="Arial" w:cs="Arial"/>
                <w:i/>
                <w:iCs/>
              </w:rPr>
              <w:t>4339: Other building completion and finishing</w:t>
            </w:r>
          </w:p>
          <w:p w14:paraId="7EA1A798" w14:textId="77777777" w:rsidR="00E607AB" w:rsidRPr="00B9172C" w:rsidRDefault="00E607AB" w:rsidP="005C73DF">
            <w:pPr>
              <w:pStyle w:val="ListParagraph"/>
              <w:numPr>
                <w:ilvl w:val="0"/>
                <w:numId w:val="6"/>
              </w:numPr>
              <w:rPr>
                <w:rFonts w:ascii="Arial" w:hAnsi="Arial" w:cs="Arial"/>
                <w:i/>
                <w:iCs/>
              </w:rPr>
            </w:pPr>
            <w:r w:rsidRPr="00B9172C">
              <w:rPr>
                <w:rFonts w:ascii="Arial" w:hAnsi="Arial" w:cs="Arial"/>
                <w:i/>
                <w:iCs/>
              </w:rPr>
              <w:t xml:space="preserve">4399: Other specialised construction activities </w:t>
            </w:r>
            <w:proofErr w:type="spellStart"/>
            <w:r w:rsidRPr="00B9172C">
              <w:rPr>
                <w:rFonts w:ascii="Arial" w:hAnsi="Arial" w:cs="Arial"/>
                <w:i/>
                <w:iCs/>
              </w:rPr>
              <w:t>n.e.c.</w:t>
            </w:r>
            <w:proofErr w:type="spellEnd"/>
          </w:p>
        </w:tc>
      </w:tr>
    </w:tbl>
    <w:p w14:paraId="230BBFEF" w14:textId="77777777" w:rsidR="00E607AB" w:rsidRPr="00095CC9" w:rsidRDefault="00E607AB" w:rsidP="00E607AB">
      <w:pPr>
        <w:rPr>
          <w:rFonts w:ascii="Arial" w:hAnsi="Arial" w:cs="Arial"/>
        </w:rPr>
      </w:pPr>
    </w:p>
    <w:tbl>
      <w:tblPr>
        <w:tblStyle w:val="TableGridLight"/>
        <w:tblW w:w="14029" w:type="dxa"/>
        <w:tblLook w:val="04A0" w:firstRow="1" w:lastRow="0" w:firstColumn="1" w:lastColumn="0" w:noHBand="0" w:noVBand="1"/>
      </w:tblPr>
      <w:tblGrid>
        <w:gridCol w:w="2972"/>
        <w:gridCol w:w="11057"/>
      </w:tblGrid>
      <w:tr w:rsidR="00E607AB" w:rsidRPr="00095CC9" w14:paraId="3716334C" w14:textId="77777777">
        <w:tc>
          <w:tcPr>
            <w:tcW w:w="2972" w:type="dxa"/>
          </w:tcPr>
          <w:p w14:paraId="14CEFD42" w14:textId="77777777" w:rsidR="00E607AB" w:rsidRPr="00095CC9" w:rsidRDefault="00E607AB">
            <w:pPr>
              <w:rPr>
                <w:rFonts w:ascii="Arial" w:hAnsi="Arial" w:cs="Arial"/>
              </w:rPr>
            </w:pPr>
            <w:r w:rsidRPr="00095CC9">
              <w:rPr>
                <w:rFonts w:ascii="Arial" w:hAnsi="Arial" w:cs="Arial"/>
              </w:rPr>
              <w:t>Relevant roles</w:t>
            </w:r>
          </w:p>
        </w:tc>
        <w:tc>
          <w:tcPr>
            <w:tcW w:w="11057" w:type="dxa"/>
          </w:tcPr>
          <w:p w14:paraId="63D680C0" w14:textId="77777777" w:rsidR="00E607AB" w:rsidRPr="00B9172C" w:rsidRDefault="00E607AB">
            <w:pPr>
              <w:rPr>
                <w:rFonts w:ascii="Arial" w:hAnsi="Arial" w:cs="Arial"/>
                <w:i/>
                <w:iCs/>
              </w:rPr>
            </w:pPr>
            <w:r w:rsidRPr="00B9172C">
              <w:rPr>
                <w:rFonts w:ascii="Arial" w:hAnsi="Arial" w:cs="Arial"/>
                <w:i/>
                <w:iCs/>
              </w:rPr>
              <w:t xml:space="preserve">Apprentice/ Trainee, Skilled operative, Team leader, Site supervisor, Manager / technical supervisor, Construction supervisor, Construction site manager, Contracts manager, Project manager, </w:t>
            </w:r>
            <w:proofErr w:type="gramStart"/>
            <w:r w:rsidRPr="00B9172C">
              <w:rPr>
                <w:rFonts w:ascii="Arial" w:hAnsi="Arial" w:cs="Arial"/>
                <w:i/>
                <w:iCs/>
              </w:rPr>
              <w:t>Technical</w:t>
            </w:r>
            <w:proofErr w:type="gramEnd"/>
            <w:r w:rsidRPr="00B9172C">
              <w:rPr>
                <w:rFonts w:ascii="Arial" w:hAnsi="Arial" w:cs="Arial"/>
                <w:i/>
                <w:iCs/>
              </w:rPr>
              <w:t xml:space="preserve"> specialist.</w:t>
            </w:r>
          </w:p>
        </w:tc>
      </w:tr>
      <w:tr w:rsidR="00E607AB" w:rsidRPr="00095CC9" w14:paraId="4CBAD431" w14:textId="77777777">
        <w:tc>
          <w:tcPr>
            <w:tcW w:w="2972" w:type="dxa"/>
          </w:tcPr>
          <w:p w14:paraId="69BAB383" w14:textId="77777777" w:rsidR="00E607AB" w:rsidRPr="00095CC9" w:rsidRDefault="00E607AB">
            <w:pPr>
              <w:rPr>
                <w:rFonts w:ascii="Arial" w:hAnsi="Arial" w:cs="Arial"/>
              </w:rPr>
            </w:pPr>
            <w:r w:rsidRPr="00095CC9">
              <w:rPr>
                <w:rFonts w:ascii="Arial" w:hAnsi="Arial" w:cs="Arial"/>
              </w:rPr>
              <w:t>Applicable SOC code(s)</w:t>
            </w:r>
          </w:p>
        </w:tc>
        <w:tc>
          <w:tcPr>
            <w:tcW w:w="11057" w:type="dxa"/>
          </w:tcPr>
          <w:p w14:paraId="3A859EAD" w14:textId="77777777" w:rsidR="00E607AB" w:rsidRPr="00B9172C" w:rsidRDefault="00E607AB">
            <w:pPr>
              <w:rPr>
                <w:rFonts w:ascii="Arial" w:hAnsi="Arial" w:cs="Arial"/>
                <w:i/>
                <w:iCs/>
              </w:rPr>
            </w:pPr>
            <w:r w:rsidRPr="00B9172C">
              <w:rPr>
                <w:rFonts w:ascii="Arial" w:hAnsi="Arial" w:cs="Arial"/>
                <w:i/>
                <w:iCs/>
              </w:rPr>
              <w:t>No readily applicable SOC code(s) available. Possible that individuals in the sector categorised under any one of a number of residual codes – including, for example:</w:t>
            </w:r>
          </w:p>
          <w:p w14:paraId="332536E1" w14:textId="77777777" w:rsidR="00E607AB" w:rsidRPr="00B9172C" w:rsidRDefault="00E607AB" w:rsidP="005C73DF">
            <w:pPr>
              <w:pStyle w:val="ListParagraph"/>
              <w:numPr>
                <w:ilvl w:val="0"/>
                <w:numId w:val="7"/>
              </w:numPr>
              <w:rPr>
                <w:rFonts w:ascii="Arial" w:hAnsi="Arial" w:cs="Arial"/>
                <w:i/>
                <w:iCs/>
              </w:rPr>
            </w:pPr>
            <w:r w:rsidRPr="00B9172C">
              <w:rPr>
                <w:rFonts w:ascii="Arial" w:hAnsi="Arial" w:cs="Arial"/>
                <w:i/>
                <w:iCs/>
              </w:rPr>
              <w:t xml:space="preserve">5319: Construction and building trades </w:t>
            </w:r>
            <w:proofErr w:type="spellStart"/>
            <w:r w:rsidRPr="00B9172C">
              <w:rPr>
                <w:rFonts w:ascii="Arial" w:hAnsi="Arial" w:cs="Arial"/>
                <w:i/>
                <w:iCs/>
              </w:rPr>
              <w:t>n.e.c.</w:t>
            </w:r>
            <w:proofErr w:type="spellEnd"/>
          </w:p>
          <w:p w14:paraId="35B71C06" w14:textId="77777777" w:rsidR="00E607AB" w:rsidRPr="00B9172C" w:rsidRDefault="00E607AB" w:rsidP="005C73DF">
            <w:pPr>
              <w:pStyle w:val="ListParagraph"/>
              <w:numPr>
                <w:ilvl w:val="0"/>
                <w:numId w:val="7"/>
              </w:numPr>
              <w:rPr>
                <w:rFonts w:ascii="Arial" w:hAnsi="Arial" w:cs="Arial"/>
                <w:i/>
                <w:iCs/>
              </w:rPr>
            </w:pPr>
            <w:r w:rsidRPr="00B9172C">
              <w:rPr>
                <w:rFonts w:ascii="Arial" w:hAnsi="Arial" w:cs="Arial"/>
                <w:i/>
                <w:iCs/>
              </w:rPr>
              <w:t>5330: Construction and buildings trades supervisors</w:t>
            </w:r>
          </w:p>
        </w:tc>
      </w:tr>
    </w:tbl>
    <w:p w14:paraId="366B369D" w14:textId="77777777" w:rsidR="00E607AB" w:rsidRPr="00095CC9" w:rsidRDefault="00E607AB" w:rsidP="00E607AB">
      <w:pPr>
        <w:rPr>
          <w:rFonts w:ascii="Arial" w:hAnsi="Arial" w:cs="Arial"/>
        </w:rPr>
      </w:pPr>
    </w:p>
    <w:tbl>
      <w:tblPr>
        <w:tblStyle w:val="TableGridLight"/>
        <w:tblW w:w="14029" w:type="dxa"/>
        <w:tblLook w:val="04A0" w:firstRow="1" w:lastRow="0" w:firstColumn="1" w:lastColumn="0" w:noHBand="0" w:noVBand="1"/>
      </w:tblPr>
      <w:tblGrid>
        <w:gridCol w:w="2972"/>
        <w:gridCol w:w="11057"/>
      </w:tblGrid>
      <w:tr w:rsidR="00E607AB" w:rsidRPr="00095CC9" w14:paraId="39397A71" w14:textId="77777777">
        <w:tc>
          <w:tcPr>
            <w:tcW w:w="2972" w:type="dxa"/>
          </w:tcPr>
          <w:p w14:paraId="4A1B0492" w14:textId="77777777" w:rsidR="00E607AB" w:rsidRPr="00095CC9" w:rsidRDefault="00E607AB">
            <w:pPr>
              <w:rPr>
                <w:rFonts w:ascii="Arial" w:hAnsi="Arial" w:cs="Arial"/>
              </w:rPr>
            </w:pPr>
            <w:r w:rsidRPr="00095CC9">
              <w:rPr>
                <w:rFonts w:ascii="Arial" w:hAnsi="Arial" w:cs="Arial"/>
              </w:rPr>
              <w:t>Building operations/ work in scope (+ any exclusions)</w:t>
            </w:r>
          </w:p>
        </w:tc>
        <w:tc>
          <w:tcPr>
            <w:tcW w:w="11057" w:type="dxa"/>
          </w:tcPr>
          <w:p w14:paraId="098B1F39" w14:textId="6AE64046" w:rsidR="00E607AB" w:rsidRPr="00B9172C" w:rsidRDefault="00E607AB">
            <w:pPr>
              <w:rPr>
                <w:rFonts w:ascii="Arial" w:hAnsi="Arial" w:cs="Arial"/>
                <w:i/>
                <w:iCs/>
              </w:rPr>
            </w:pPr>
            <w:r w:rsidRPr="00B9172C">
              <w:rPr>
                <w:rFonts w:ascii="Arial" w:hAnsi="Arial" w:cs="Arial"/>
                <w:i/>
                <w:iCs/>
              </w:rPr>
              <w:t xml:space="preserve">All buildings: both HRBs and non-HRBs. Commercial new build and RMI; industrial new build and RMI; domestic new build and RMI. </w:t>
            </w:r>
          </w:p>
        </w:tc>
      </w:tr>
      <w:tr w:rsidR="00E607AB" w:rsidRPr="00095CC9" w14:paraId="4C17D7BB" w14:textId="77777777">
        <w:tc>
          <w:tcPr>
            <w:tcW w:w="2972" w:type="dxa"/>
          </w:tcPr>
          <w:p w14:paraId="40AA739E" w14:textId="77777777" w:rsidR="00E607AB" w:rsidRPr="00095CC9" w:rsidRDefault="00E607AB">
            <w:pPr>
              <w:rPr>
                <w:rFonts w:ascii="Arial" w:hAnsi="Arial" w:cs="Arial"/>
              </w:rPr>
            </w:pPr>
            <w:r w:rsidRPr="00095CC9">
              <w:rPr>
                <w:rFonts w:ascii="Arial" w:hAnsi="Arial" w:cs="Arial"/>
              </w:rPr>
              <w:t>Geographical coverage</w:t>
            </w:r>
          </w:p>
        </w:tc>
        <w:tc>
          <w:tcPr>
            <w:tcW w:w="11057" w:type="dxa"/>
          </w:tcPr>
          <w:p w14:paraId="66224758" w14:textId="77777777" w:rsidR="00E607AB" w:rsidRPr="00B9172C" w:rsidRDefault="00E607AB">
            <w:pPr>
              <w:rPr>
                <w:rFonts w:ascii="Arial" w:hAnsi="Arial" w:cs="Arial"/>
                <w:i/>
                <w:iCs/>
              </w:rPr>
            </w:pPr>
            <w:r w:rsidRPr="00B9172C">
              <w:rPr>
                <w:rFonts w:ascii="Arial" w:hAnsi="Arial" w:cs="Arial"/>
                <w:i/>
                <w:iCs/>
              </w:rPr>
              <w:t>Whole UK + Channel Islands and Isle of Man. In practice, however, roll out across all jurisdictions is likely to take some time, as set out in Sector Implementation Plan – see further below.</w:t>
            </w:r>
          </w:p>
        </w:tc>
      </w:tr>
    </w:tbl>
    <w:p w14:paraId="49BBF5D4" w14:textId="77777777" w:rsidR="00E607AB" w:rsidRPr="00095CC9" w:rsidRDefault="00E607AB" w:rsidP="00E607AB">
      <w:pPr>
        <w:rPr>
          <w:rFonts w:ascii="Arial" w:hAnsi="Arial" w:cs="Arial"/>
        </w:rPr>
      </w:pPr>
    </w:p>
    <w:tbl>
      <w:tblPr>
        <w:tblStyle w:val="TableGridLight"/>
        <w:tblW w:w="14029" w:type="dxa"/>
        <w:tblLook w:val="04A0" w:firstRow="1" w:lastRow="0" w:firstColumn="1" w:lastColumn="0" w:noHBand="0" w:noVBand="1"/>
      </w:tblPr>
      <w:tblGrid>
        <w:gridCol w:w="2972"/>
        <w:gridCol w:w="11057"/>
      </w:tblGrid>
      <w:tr w:rsidR="00E607AB" w:rsidRPr="00095CC9" w14:paraId="7073DB62" w14:textId="77777777">
        <w:tc>
          <w:tcPr>
            <w:tcW w:w="2972" w:type="dxa"/>
          </w:tcPr>
          <w:p w14:paraId="4AD29823" w14:textId="77777777" w:rsidR="00E607AB" w:rsidRPr="00095CC9" w:rsidRDefault="00E607AB">
            <w:pPr>
              <w:rPr>
                <w:rFonts w:ascii="Arial" w:hAnsi="Arial" w:cs="Arial"/>
              </w:rPr>
            </w:pPr>
            <w:r w:rsidRPr="00095CC9">
              <w:rPr>
                <w:rFonts w:ascii="Arial" w:hAnsi="Arial" w:cs="Arial"/>
              </w:rPr>
              <w:br w:type="page"/>
              <w:t>Related sectors and/or scope overlaps</w:t>
            </w:r>
          </w:p>
        </w:tc>
        <w:tc>
          <w:tcPr>
            <w:tcW w:w="11057" w:type="dxa"/>
          </w:tcPr>
          <w:p w14:paraId="0C23538E" w14:textId="77777777" w:rsidR="00E607AB" w:rsidRPr="00B9172C" w:rsidRDefault="00E607AB">
            <w:pPr>
              <w:rPr>
                <w:rFonts w:ascii="Arial" w:hAnsi="Arial" w:cs="Arial"/>
                <w:i/>
                <w:iCs/>
              </w:rPr>
            </w:pPr>
            <w:r w:rsidRPr="00B9172C">
              <w:rPr>
                <w:rFonts w:ascii="Arial" w:hAnsi="Arial" w:cs="Arial"/>
                <w:i/>
                <w:iCs/>
              </w:rPr>
              <w:t>Fire stopping is widely recognised as both a specialist installer discipline in its own right and as a generic function carried out by many other installer disciplines. Industry estimates are that non-specialists install between half and two-thirds of fire stopping.</w:t>
            </w:r>
          </w:p>
          <w:p w14:paraId="42492416" w14:textId="77777777" w:rsidR="00E607AB" w:rsidRPr="00B9172C" w:rsidRDefault="00E607AB">
            <w:pPr>
              <w:rPr>
                <w:rFonts w:ascii="Arial" w:hAnsi="Arial" w:cs="Arial"/>
                <w:i/>
                <w:iCs/>
              </w:rPr>
            </w:pPr>
          </w:p>
          <w:p w14:paraId="0AFA2DFF" w14:textId="77777777" w:rsidR="00E607AB" w:rsidRPr="00B9172C" w:rsidRDefault="00E607AB">
            <w:pPr>
              <w:rPr>
                <w:rFonts w:ascii="Arial" w:hAnsi="Arial" w:cs="Arial"/>
                <w:i/>
                <w:iCs/>
              </w:rPr>
            </w:pPr>
            <w:r w:rsidRPr="00B9172C">
              <w:rPr>
                <w:rFonts w:ascii="Arial" w:hAnsi="Arial" w:cs="Arial"/>
                <w:i/>
                <w:iCs/>
              </w:rPr>
              <w:t>The Fire Stopping Specialist sector competence framework group has already established constructive dialogue with other relevant installer sector groups, and this engagement will continue and grow further, in order to ensure a sufficiently consistent approach to fire stopping competence, whether undertaken by specialists or non-specialist installers.</w:t>
            </w:r>
          </w:p>
          <w:p w14:paraId="3AC3467C" w14:textId="77777777" w:rsidR="00E607AB" w:rsidRPr="00B9172C" w:rsidRDefault="00E607AB">
            <w:pPr>
              <w:rPr>
                <w:rFonts w:ascii="Arial" w:hAnsi="Arial" w:cs="Arial"/>
                <w:i/>
                <w:iCs/>
              </w:rPr>
            </w:pPr>
          </w:p>
        </w:tc>
      </w:tr>
    </w:tbl>
    <w:p w14:paraId="27B444BA" w14:textId="77777777" w:rsidR="00E607AB" w:rsidRPr="00095CC9" w:rsidRDefault="00E607AB" w:rsidP="00E607AB">
      <w:pPr>
        <w:rPr>
          <w:rFonts w:ascii="Arial" w:hAnsi="Arial" w:cs="Arial"/>
        </w:rPr>
      </w:pPr>
    </w:p>
    <w:tbl>
      <w:tblPr>
        <w:tblStyle w:val="TableGridLight"/>
        <w:tblW w:w="14029" w:type="dxa"/>
        <w:tblLook w:val="04A0" w:firstRow="1" w:lastRow="0" w:firstColumn="1" w:lastColumn="0" w:noHBand="0" w:noVBand="1"/>
      </w:tblPr>
      <w:tblGrid>
        <w:gridCol w:w="2972"/>
        <w:gridCol w:w="11057"/>
      </w:tblGrid>
      <w:tr w:rsidR="00E607AB" w:rsidRPr="00095CC9" w14:paraId="3AA6F96D" w14:textId="77777777">
        <w:tc>
          <w:tcPr>
            <w:tcW w:w="2972" w:type="dxa"/>
          </w:tcPr>
          <w:p w14:paraId="49BD4C71" w14:textId="77777777" w:rsidR="00E607AB" w:rsidRPr="00095CC9" w:rsidRDefault="00E607AB">
            <w:pPr>
              <w:rPr>
                <w:rFonts w:ascii="Arial" w:hAnsi="Arial" w:cs="Arial"/>
              </w:rPr>
            </w:pPr>
            <w:r w:rsidRPr="00095CC9">
              <w:rPr>
                <w:rFonts w:ascii="Arial" w:hAnsi="Arial" w:cs="Arial"/>
              </w:rPr>
              <w:t>Relevant regulatory/ statutory regime(s) for individual competence assessment</w:t>
            </w:r>
          </w:p>
        </w:tc>
        <w:tc>
          <w:tcPr>
            <w:tcW w:w="11057" w:type="dxa"/>
          </w:tcPr>
          <w:p w14:paraId="7E2A5FB7" w14:textId="795B59FA" w:rsidR="00E607AB" w:rsidRPr="00095CC9" w:rsidRDefault="00E607AB">
            <w:pPr>
              <w:rPr>
                <w:rFonts w:ascii="Arial" w:hAnsi="Arial" w:cs="Arial"/>
                <w:b/>
                <w:bCs/>
              </w:rPr>
            </w:pPr>
          </w:p>
        </w:tc>
      </w:tr>
    </w:tbl>
    <w:p w14:paraId="32BB8D82" w14:textId="77777777" w:rsidR="00E607AB" w:rsidRPr="00095CC9" w:rsidRDefault="00E607AB" w:rsidP="00E607AB">
      <w:pPr>
        <w:rPr>
          <w:rFonts w:ascii="Arial" w:hAnsi="Arial" w:cs="Arial"/>
        </w:rPr>
      </w:pPr>
    </w:p>
    <w:p w14:paraId="38E2966B" w14:textId="77777777" w:rsidR="00E607AB" w:rsidRPr="00095CC9" w:rsidRDefault="00E607AB" w:rsidP="00E607AB">
      <w:pPr>
        <w:rPr>
          <w:rFonts w:ascii="Arial" w:hAnsi="Arial" w:cs="Arial"/>
        </w:rPr>
      </w:pPr>
    </w:p>
    <w:p w14:paraId="1A176075" w14:textId="77777777" w:rsidR="00E607AB" w:rsidRPr="00095CC9" w:rsidRDefault="00E607AB" w:rsidP="00E607AB">
      <w:pPr>
        <w:rPr>
          <w:rFonts w:ascii="Arial" w:hAnsi="Arial" w:cs="Arial"/>
        </w:rPr>
      </w:pPr>
    </w:p>
    <w:tbl>
      <w:tblPr>
        <w:tblStyle w:val="TableGridLight"/>
        <w:tblW w:w="0" w:type="auto"/>
        <w:tblLook w:val="04A0" w:firstRow="1" w:lastRow="0" w:firstColumn="1" w:lastColumn="0" w:noHBand="0" w:noVBand="1"/>
      </w:tblPr>
      <w:tblGrid>
        <w:gridCol w:w="2789"/>
        <w:gridCol w:w="1175"/>
        <w:gridCol w:w="1134"/>
        <w:gridCol w:w="6060"/>
        <w:gridCol w:w="2790"/>
      </w:tblGrid>
      <w:tr w:rsidR="00E607AB" w:rsidRPr="00095CC9" w14:paraId="5575B5E3" w14:textId="77777777" w:rsidTr="005C73DF">
        <w:trPr>
          <w:tblHeader/>
        </w:trPr>
        <w:tc>
          <w:tcPr>
            <w:tcW w:w="2789" w:type="dxa"/>
            <w:shd w:val="clear" w:color="auto" w:fill="D9D9D9" w:themeFill="background1" w:themeFillShade="D9"/>
          </w:tcPr>
          <w:p w14:paraId="42F4C645" w14:textId="50BBA90A" w:rsidR="00E607AB" w:rsidRPr="00095CC9" w:rsidRDefault="00E607AB">
            <w:pPr>
              <w:jc w:val="center"/>
              <w:rPr>
                <w:rFonts w:ascii="Arial" w:hAnsi="Arial" w:cs="Arial"/>
                <w:b/>
                <w:bCs/>
              </w:rPr>
            </w:pPr>
            <w:r w:rsidRPr="00095CC9">
              <w:rPr>
                <w:rFonts w:ascii="Arial" w:hAnsi="Arial" w:cs="Arial"/>
                <w:b/>
                <w:bCs/>
              </w:rPr>
              <w:br w:type="page"/>
              <w:t>Criteria</w:t>
            </w:r>
          </w:p>
        </w:tc>
        <w:tc>
          <w:tcPr>
            <w:tcW w:w="1175" w:type="dxa"/>
            <w:shd w:val="clear" w:color="auto" w:fill="D9D9D9" w:themeFill="background1" w:themeFillShade="D9"/>
          </w:tcPr>
          <w:p w14:paraId="436713BE" w14:textId="77777777" w:rsidR="00E607AB" w:rsidRPr="00095CC9" w:rsidRDefault="00E607AB">
            <w:pPr>
              <w:jc w:val="center"/>
              <w:rPr>
                <w:rFonts w:ascii="Arial" w:hAnsi="Arial" w:cs="Arial"/>
                <w:b/>
                <w:bCs/>
              </w:rPr>
            </w:pPr>
            <w:r w:rsidRPr="00095CC9">
              <w:rPr>
                <w:rFonts w:ascii="Arial" w:hAnsi="Arial" w:cs="Arial"/>
                <w:b/>
                <w:bCs/>
              </w:rPr>
              <w:t>RAG status</w:t>
            </w:r>
          </w:p>
          <w:p w14:paraId="646D2F39" w14:textId="34AD8ECC" w:rsidR="00E607AB" w:rsidRPr="00095CC9" w:rsidRDefault="005C73DF">
            <w:pPr>
              <w:jc w:val="center"/>
              <w:rPr>
                <w:rFonts w:ascii="Arial" w:hAnsi="Arial" w:cs="Arial"/>
                <w:b/>
                <w:bCs/>
              </w:rPr>
            </w:pPr>
            <w:r w:rsidRPr="00095CC9">
              <w:rPr>
                <w:rFonts w:ascii="Arial" w:hAnsi="Arial" w:cs="Arial"/>
                <w:b/>
                <w:bCs/>
              </w:rPr>
              <w:t>(at start)</w:t>
            </w:r>
          </w:p>
        </w:tc>
        <w:tc>
          <w:tcPr>
            <w:tcW w:w="1134" w:type="dxa"/>
            <w:shd w:val="clear" w:color="auto" w:fill="D9D9D9" w:themeFill="background1" w:themeFillShade="D9"/>
          </w:tcPr>
          <w:p w14:paraId="4BB97752" w14:textId="77777777" w:rsidR="00E607AB" w:rsidRPr="00095CC9" w:rsidRDefault="00E607AB">
            <w:pPr>
              <w:jc w:val="center"/>
              <w:rPr>
                <w:rFonts w:ascii="Arial" w:hAnsi="Arial" w:cs="Arial"/>
                <w:b/>
                <w:bCs/>
              </w:rPr>
            </w:pPr>
            <w:r w:rsidRPr="00095CC9">
              <w:rPr>
                <w:rFonts w:ascii="Arial" w:hAnsi="Arial" w:cs="Arial"/>
                <w:b/>
                <w:bCs/>
              </w:rPr>
              <w:t>RAG status</w:t>
            </w:r>
          </w:p>
          <w:p w14:paraId="252367EC" w14:textId="57B37C1C" w:rsidR="00E607AB" w:rsidRPr="00095CC9" w:rsidRDefault="005C73DF">
            <w:pPr>
              <w:jc w:val="center"/>
              <w:rPr>
                <w:rFonts w:ascii="Arial" w:hAnsi="Arial" w:cs="Arial"/>
                <w:b/>
                <w:bCs/>
              </w:rPr>
            </w:pPr>
            <w:r w:rsidRPr="00095CC9">
              <w:rPr>
                <w:rFonts w:ascii="Arial" w:hAnsi="Arial" w:cs="Arial"/>
                <w:b/>
                <w:bCs/>
              </w:rPr>
              <w:t>(at end)</w:t>
            </w:r>
          </w:p>
        </w:tc>
        <w:tc>
          <w:tcPr>
            <w:tcW w:w="6060" w:type="dxa"/>
            <w:shd w:val="clear" w:color="auto" w:fill="D9D9D9" w:themeFill="background1" w:themeFillShade="D9"/>
          </w:tcPr>
          <w:p w14:paraId="5A56881F" w14:textId="77777777" w:rsidR="00E607AB" w:rsidRPr="00095CC9" w:rsidRDefault="00E607AB">
            <w:pPr>
              <w:jc w:val="center"/>
              <w:rPr>
                <w:rFonts w:ascii="Arial" w:hAnsi="Arial" w:cs="Arial"/>
                <w:b/>
                <w:bCs/>
              </w:rPr>
            </w:pPr>
            <w:r w:rsidRPr="00095CC9">
              <w:rPr>
                <w:rFonts w:ascii="Arial" w:hAnsi="Arial" w:cs="Arial"/>
                <w:b/>
                <w:bCs/>
              </w:rPr>
              <w:t>Detail</w:t>
            </w:r>
          </w:p>
        </w:tc>
        <w:tc>
          <w:tcPr>
            <w:tcW w:w="2790" w:type="dxa"/>
            <w:shd w:val="clear" w:color="auto" w:fill="D9D9D9" w:themeFill="background1" w:themeFillShade="D9"/>
          </w:tcPr>
          <w:p w14:paraId="44B100BA" w14:textId="77777777" w:rsidR="00E607AB" w:rsidRPr="00095CC9" w:rsidRDefault="00E607AB">
            <w:pPr>
              <w:jc w:val="center"/>
              <w:rPr>
                <w:rFonts w:ascii="Arial" w:hAnsi="Arial" w:cs="Arial"/>
                <w:b/>
                <w:bCs/>
              </w:rPr>
            </w:pPr>
            <w:r w:rsidRPr="00095CC9">
              <w:rPr>
                <w:rFonts w:ascii="Arial" w:hAnsi="Arial" w:cs="Arial"/>
                <w:b/>
                <w:bCs/>
              </w:rPr>
              <w:t>Further notes</w:t>
            </w:r>
          </w:p>
        </w:tc>
      </w:tr>
      <w:tr w:rsidR="00E607AB" w:rsidRPr="00095CC9" w14:paraId="4EBD02CB" w14:textId="77777777">
        <w:tc>
          <w:tcPr>
            <w:tcW w:w="13948" w:type="dxa"/>
            <w:gridSpan w:val="5"/>
          </w:tcPr>
          <w:p w14:paraId="4E131FEF" w14:textId="77777777" w:rsidR="00E607AB" w:rsidRPr="00095CC9" w:rsidRDefault="00E607AB">
            <w:pPr>
              <w:rPr>
                <w:rFonts w:ascii="Arial" w:hAnsi="Arial" w:cs="Arial"/>
                <w:b/>
                <w:bCs/>
              </w:rPr>
            </w:pPr>
          </w:p>
        </w:tc>
      </w:tr>
      <w:tr w:rsidR="00E607AB" w:rsidRPr="00095CC9" w14:paraId="1C388C35" w14:textId="77777777" w:rsidTr="00E607AB">
        <w:tc>
          <w:tcPr>
            <w:tcW w:w="13948" w:type="dxa"/>
            <w:gridSpan w:val="5"/>
            <w:tcBorders>
              <w:bottom w:val="single" w:sz="4" w:space="0" w:color="BFBFBF" w:themeColor="background1" w:themeShade="BF"/>
            </w:tcBorders>
          </w:tcPr>
          <w:p w14:paraId="421434C0" w14:textId="39A77D88" w:rsidR="00E607AB" w:rsidRPr="00095CC9" w:rsidRDefault="00E607AB">
            <w:pPr>
              <w:rPr>
                <w:rFonts w:ascii="Arial" w:hAnsi="Arial" w:cs="Arial"/>
              </w:rPr>
            </w:pPr>
            <w:r w:rsidRPr="00095CC9">
              <w:rPr>
                <w:rFonts w:ascii="Arial" w:hAnsi="Arial" w:cs="Arial"/>
                <w:b/>
                <w:bCs/>
              </w:rPr>
              <w:t>Competence levels and standards</w:t>
            </w:r>
          </w:p>
        </w:tc>
      </w:tr>
      <w:tr w:rsidR="00E607AB" w:rsidRPr="00095CC9" w14:paraId="3F9BD0EC" w14:textId="77777777" w:rsidTr="00E607AB">
        <w:tc>
          <w:tcPr>
            <w:tcW w:w="2789" w:type="dxa"/>
            <w:tcBorders>
              <w:left w:val="nil"/>
              <w:right w:val="nil"/>
            </w:tcBorders>
            <w:shd w:val="clear" w:color="auto" w:fill="auto"/>
          </w:tcPr>
          <w:p w14:paraId="25BFD756" w14:textId="77777777" w:rsidR="00E607AB" w:rsidRPr="00095CC9" w:rsidRDefault="00E607AB">
            <w:pPr>
              <w:rPr>
                <w:rFonts w:ascii="Arial" w:hAnsi="Arial" w:cs="Arial"/>
              </w:rPr>
            </w:pPr>
          </w:p>
        </w:tc>
        <w:tc>
          <w:tcPr>
            <w:tcW w:w="1175" w:type="dxa"/>
            <w:tcBorders>
              <w:left w:val="nil"/>
              <w:right w:val="nil"/>
            </w:tcBorders>
            <w:shd w:val="clear" w:color="auto" w:fill="auto"/>
          </w:tcPr>
          <w:p w14:paraId="4BB4BF94" w14:textId="77777777" w:rsidR="00E607AB" w:rsidRPr="00095CC9" w:rsidRDefault="00E607AB">
            <w:pPr>
              <w:rPr>
                <w:rFonts w:ascii="Arial" w:hAnsi="Arial" w:cs="Arial"/>
              </w:rPr>
            </w:pPr>
          </w:p>
        </w:tc>
        <w:tc>
          <w:tcPr>
            <w:tcW w:w="1134" w:type="dxa"/>
            <w:tcBorders>
              <w:left w:val="nil"/>
              <w:right w:val="nil"/>
            </w:tcBorders>
            <w:shd w:val="clear" w:color="auto" w:fill="auto"/>
          </w:tcPr>
          <w:p w14:paraId="70267996" w14:textId="77777777" w:rsidR="00E607AB" w:rsidRPr="00095CC9" w:rsidRDefault="00E607AB">
            <w:pPr>
              <w:rPr>
                <w:rFonts w:ascii="Arial" w:hAnsi="Arial" w:cs="Arial"/>
              </w:rPr>
            </w:pPr>
          </w:p>
        </w:tc>
        <w:tc>
          <w:tcPr>
            <w:tcW w:w="6060" w:type="dxa"/>
            <w:tcBorders>
              <w:left w:val="nil"/>
              <w:right w:val="nil"/>
            </w:tcBorders>
            <w:shd w:val="clear" w:color="auto" w:fill="auto"/>
          </w:tcPr>
          <w:p w14:paraId="0F13741E" w14:textId="77777777" w:rsidR="00E607AB" w:rsidRPr="00095CC9" w:rsidRDefault="00E607AB">
            <w:pPr>
              <w:rPr>
                <w:rFonts w:ascii="Arial" w:hAnsi="Arial" w:cs="Arial"/>
              </w:rPr>
            </w:pPr>
          </w:p>
        </w:tc>
        <w:tc>
          <w:tcPr>
            <w:tcW w:w="2790" w:type="dxa"/>
            <w:tcBorders>
              <w:left w:val="nil"/>
              <w:right w:val="nil"/>
            </w:tcBorders>
            <w:shd w:val="clear" w:color="auto" w:fill="auto"/>
          </w:tcPr>
          <w:p w14:paraId="785A69DA" w14:textId="77777777" w:rsidR="00E607AB" w:rsidRPr="00095CC9" w:rsidRDefault="00E607AB">
            <w:pPr>
              <w:rPr>
                <w:rFonts w:ascii="Arial" w:hAnsi="Arial" w:cs="Arial"/>
              </w:rPr>
            </w:pPr>
          </w:p>
        </w:tc>
      </w:tr>
      <w:tr w:rsidR="00E607AB" w:rsidRPr="00095CC9" w14:paraId="3B989E7B" w14:textId="77777777">
        <w:tc>
          <w:tcPr>
            <w:tcW w:w="2789" w:type="dxa"/>
          </w:tcPr>
          <w:p w14:paraId="1CDC2920" w14:textId="77777777" w:rsidR="00E607AB" w:rsidRPr="00095CC9" w:rsidRDefault="00E607AB">
            <w:pPr>
              <w:rPr>
                <w:rFonts w:ascii="Arial" w:hAnsi="Arial" w:cs="Arial"/>
              </w:rPr>
            </w:pPr>
            <w:r w:rsidRPr="00095CC9">
              <w:rPr>
                <w:rFonts w:ascii="Arial" w:hAnsi="Arial" w:cs="Arial"/>
              </w:rPr>
              <w:t>Roles, functions, activities and tasks</w:t>
            </w:r>
          </w:p>
        </w:tc>
        <w:tc>
          <w:tcPr>
            <w:tcW w:w="1175" w:type="dxa"/>
            <w:shd w:val="clear" w:color="auto" w:fill="D9D9D9" w:themeFill="background1" w:themeFillShade="D9"/>
          </w:tcPr>
          <w:p w14:paraId="45226227" w14:textId="77777777" w:rsidR="00E607AB" w:rsidRPr="00095CC9" w:rsidRDefault="00E607AB">
            <w:pPr>
              <w:rPr>
                <w:rFonts w:ascii="Arial" w:hAnsi="Arial" w:cs="Arial"/>
              </w:rPr>
            </w:pPr>
          </w:p>
        </w:tc>
        <w:tc>
          <w:tcPr>
            <w:tcW w:w="1134" w:type="dxa"/>
            <w:shd w:val="clear" w:color="auto" w:fill="auto"/>
          </w:tcPr>
          <w:p w14:paraId="531C4E7B" w14:textId="77777777" w:rsidR="00E607AB" w:rsidRPr="00095CC9" w:rsidRDefault="00E607AB">
            <w:pPr>
              <w:rPr>
                <w:rFonts w:ascii="Arial" w:hAnsi="Arial" w:cs="Arial"/>
              </w:rPr>
            </w:pPr>
          </w:p>
        </w:tc>
        <w:tc>
          <w:tcPr>
            <w:tcW w:w="6060" w:type="dxa"/>
          </w:tcPr>
          <w:p w14:paraId="7FFB9621" w14:textId="28ABA866" w:rsidR="00E607AB" w:rsidRPr="00095CC9" w:rsidRDefault="00E607AB">
            <w:pPr>
              <w:rPr>
                <w:rFonts w:ascii="Arial" w:hAnsi="Arial" w:cs="Arial"/>
              </w:rPr>
            </w:pPr>
          </w:p>
        </w:tc>
        <w:tc>
          <w:tcPr>
            <w:tcW w:w="2790" w:type="dxa"/>
          </w:tcPr>
          <w:p w14:paraId="71BB5AD5" w14:textId="495A4F93" w:rsidR="00E607AB" w:rsidRPr="00095CC9" w:rsidRDefault="00E607AB">
            <w:pPr>
              <w:rPr>
                <w:rFonts w:ascii="Arial" w:hAnsi="Arial" w:cs="Arial"/>
              </w:rPr>
            </w:pPr>
          </w:p>
        </w:tc>
      </w:tr>
      <w:tr w:rsidR="00E607AB" w:rsidRPr="00095CC9" w14:paraId="13D22A73" w14:textId="77777777">
        <w:tc>
          <w:tcPr>
            <w:tcW w:w="2789" w:type="dxa"/>
          </w:tcPr>
          <w:p w14:paraId="6904AD52" w14:textId="77777777" w:rsidR="00E607AB" w:rsidRPr="00095CC9" w:rsidRDefault="00E607AB">
            <w:pPr>
              <w:rPr>
                <w:rFonts w:ascii="Arial" w:hAnsi="Arial" w:cs="Arial"/>
              </w:rPr>
            </w:pPr>
            <w:r w:rsidRPr="00095CC9">
              <w:rPr>
                <w:rFonts w:ascii="Arial" w:hAnsi="Arial" w:cs="Arial"/>
              </w:rPr>
              <w:t xml:space="preserve">Skills, knowledge, experience and behaviours </w:t>
            </w:r>
          </w:p>
        </w:tc>
        <w:tc>
          <w:tcPr>
            <w:tcW w:w="1175" w:type="dxa"/>
            <w:shd w:val="clear" w:color="auto" w:fill="D9D9D9" w:themeFill="background1" w:themeFillShade="D9"/>
          </w:tcPr>
          <w:p w14:paraId="737A1E6B" w14:textId="77777777" w:rsidR="00E607AB" w:rsidRPr="00095CC9" w:rsidRDefault="00E607AB">
            <w:pPr>
              <w:rPr>
                <w:rFonts w:ascii="Arial" w:hAnsi="Arial" w:cs="Arial"/>
              </w:rPr>
            </w:pPr>
          </w:p>
        </w:tc>
        <w:tc>
          <w:tcPr>
            <w:tcW w:w="1134" w:type="dxa"/>
            <w:shd w:val="clear" w:color="auto" w:fill="auto"/>
          </w:tcPr>
          <w:p w14:paraId="2EEDE3D6" w14:textId="77777777" w:rsidR="00E607AB" w:rsidRPr="00095CC9" w:rsidRDefault="00E607AB">
            <w:pPr>
              <w:rPr>
                <w:rFonts w:ascii="Arial" w:hAnsi="Arial" w:cs="Arial"/>
              </w:rPr>
            </w:pPr>
          </w:p>
        </w:tc>
        <w:tc>
          <w:tcPr>
            <w:tcW w:w="6060" w:type="dxa"/>
          </w:tcPr>
          <w:p w14:paraId="774A510C" w14:textId="213CFC25" w:rsidR="00E607AB" w:rsidRPr="00095CC9" w:rsidRDefault="00E607AB">
            <w:pPr>
              <w:rPr>
                <w:rFonts w:ascii="Arial" w:hAnsi="Arial" w:cs="Arial"/>
              </w:rPr>
            </w:pPr>
          </w:p>
        </w:tc>
        <w:tc>
          <w:tcPr>
            <w:tcW w:w="2790" w:type="dxa"/>
          </w:tcPr>
          <w:p w14:paraId="79141E0F" w14:textId="5C681D68" w:rsidR="00E607AB" w:rsidRPr="00095CC9" w:rsidRDefault="00E607AB">
            <w:pPr>
              <w:rPr>
                <w:rFonts w:ascii="Arial" w:hAnsi="Arial" w:cs="Arial"/>
              </w:rPr>
            </w:pPr>
          </w:p>
        </w:tc>
      </w:tr>
      <w:tr w:rsidR="00E607AB" w:rsidRPr="00095CC9" w14:paraId="447B565E" w14:textId="77777777">
        <w:tc>
          <w:tcPr>
            <w:tcW w:w="2789" w:type="dxa"/>
          </w:tcPr>
          <w:p w14:paraId="267536C4" w14:textId="77777777" w:rsidR="00E607AB" w:rsidRPr="00095CC9" w:rsidRDefault="00E607AB">
            <w:pPr>
              <w:rPr>
                <w:rFonts w:ascii="Arial" w:hAnsi="Arial" w:cs="Arial"/>
              </w:rPr>
            </w:pPr>
          </w:p>
        </w:tc>
        <w:tc>
          <w:tcPr>
            <w:tcW w:w="1175" w:type="dxa"/>
            <w:shd w:val="clear" w:color="auto" w:fill="D9D9D9" w:themeFill="background1" w:themeFillShade="D9"/>
          </w:tcPr>
          <w:p w14:paraId="79C2B5B2" w14:textId="77777777" w:rsidR="00E607AB" w:rsidRPr="00095CC9" w:rsidRDefault="00E607AB">
            <w:pPr>
              <w:rPr>
                <w:rFonts w:ascii="Arial" w:hAnsi="Arial" w:cs="Arial"/>
              </w:rPr>
            </w:pPr>
          </w:p>
        </w:tc>
        <w:tc>
          <w:tcPr>
            <w:tcW w:w="1134" w:type="dxa"/>
          </w:tcPr>
          <w:p w14:paraId="3DC16C38" w14:textId="77777777" w:rsidR="00E607AB" w:rsidRPr="00095CC9" w:rsidRDefault="00E607AB">
            <w:pPr>
              <w:rPr>
                <w:rFonts w:ascii="Arial" w:hAnsi="Arial" w:cs="Arial"/>
              </w:rPr>
            </w:pPr>
          </w:p>
        </w:tc>
        <w:tc>
          <w:tcPr>
            <w:tcW w:w="6060" w:type="dxa"/>
          </w:tcPr>
          <w:p w14:paraId="4061723E" w14:textId="77777777" w:rsidR="00E607AB" w:rsidRPr="00095CC9" w:rsidRDefault="00E607AB">
            <w:pPr>
              <w:rPr>
                <w:rFonts w:ascii="Arial" w:hAnsi="Arial" w:cs="Arial"/>
              </w:rPr>
            </w:pPr>
          </w:p>
        </w:tc>
        <w:tc>
          <w:tcPr>
            <w:tcW w:w="2790" w:type="dxa"/>
          </w:tcPr>
          <w:p w14:paraId="75687C74" w14:textId="77777777" w:rsidR="00E607AB" w:rsidRPr="00095CC9" w:rsidRDefault="00E607AB">
            <w:pPr>
              <w:rPr>
                <w:rFonts w:ascii="Arial" w:hAnsi="Arial" w:cs="Arial"/>
              </w:rPr>
            </w:pPr>
          </w:p>
        </w:tc>
      </w:tr>
      <w:tr w:rsidR="00E607AB" w:rsidRPr="00095CC9" w14:paraId="6AB3E0A1" w14:textId="77777777">
        <w:tc>
          <w:tcPr>
            <w:tcW w:w="2789" w:type="dxa"/>
          </w:tcPr>
          <w:p w14:paraId="77D6C0DD" w14:textId="77777777" w:rsidR="00E607AB" w:rsidRPr="00095CC9" w:rsidRDefault="00E607AB">
            <w:pPr>
              <w:rPr>
                <w:rFonts w:ascii="Arial" w:hAnsi="Arial" w:cs="Arial"/>
              </w:rPr>
            </w:pPr>
            <w:r w:rsidRPr="00095CC9">
              <w:rPr>
                <w:rFonts w:ascii="Arial" w:hAnsi="Arial" w:cs="Arial"/>
              </w:rPr>
              <w:t>Limits of competence</w:t>
            </w:r>
          </w:p>
          <w:p w14:paraId="04B1E6BC" w14:textId="77777777" w:rsidR="00E607AB" w:rsidRPr="00095CC9" w:rsidRDefault="00E607AB">
            <w:pPr>
              <w:rPr>
                <w:rFonts w:ascii="Arial" w:hAnsi="Arial" w:cs="Arial"/>
              </w:rPr>
            </w:pPr>
          </w:p>
        </w:tc>
        <w:tc>
          <w:tcPr>
            <w:tcW w:w="1175" w:type="dxa"/>
            <w:shd w:val="clear" w:color="auto" w:fill="D9D9D9" w:themeFill="background1" w:themeFillShade="D9"/>
          </w:tcPr>
          <w:p w14:paraId="37ED7079" w14:textId="77777777" w:rsidR="00E607AB" w:rsidRPr="00095CC9" w:rsidRDefault="00E607AB">
            <w:pPr>
              <w:rPr>
                <w:rFonts w:ascii="Arial" w:hAnsi="Arial" w:cs="Arial"/>
              </w:rPr>
            </w:pPr>
          </w:p>
        </w:tc>
        <w:tc>
          <w:tcPr>
            <w:tcW w:w="1134" w:type="dxa"/>
          </w:tcPr>
          <w:p w14:paraId="2B0091F3" w14:textId="77777777" w:rsidR="00E607AB" w:rsidRPr="00095CC9" w:rsidRDefault="00E607AB">
            <w:pPr>
              <w:rPr>
                <w:rFonts w:ascii="Arial" w:hAnsi="Arial" w:cs="Arial"/>
              </w:rPr>
            </w:pPr>
          </w:p>
        </w:tc>
        <w:tc>
          <w:tcPr>
            <w:tcW w:w="6060" w:type="dxa"/>
          </w:tcPr>
          <w:p w14:paraId="4FEBCF66" w14:textId="4ACF9593" w:rsidR="00E607AB" w:rsidRPr="00095CC9" w:rsidRDefault="00E607AB">
            <w:pPr>
              <w:rPr>
                <w:rFonts w:ascii="Arial" w:hAnsi="Arial" w:cs="Arial"/>
              </w:rPr>
            </w:pPr>
          </w:p>
        </w:tc>
        <w:tc>
          <w:tcPr>
            <w:tcW w:w="2790" w:type="dxa"/>
          </w:tcPr>
          <w:p w14:paraId="248057C5" w14:textId="3BA1D75B" w:rsidR="00E607AB" w:rsidRPr="00095CC9" w:rsidRDefault="00E607AB">
            <w:pPr>
              <w:rPr>
                <w:rFonts w:ascii="Arial" w:hAnsi="Arial" w:cs="Arial"/>
              </w:rPr>
            </w:pPr>
          </w:p>
        </w:tc>
      </w:tr>
      <w:tr w:rsidR="00E607AB" w:rsidRPr="00095CC9" w14:paraId="6AC1A8B8" w14:textId="77777777" w:rsidTr="00E607AB">
        <w:tc>
          <w:tcPr>
            <w:tcW w:w="2789" w:type="dxa"/>
            <w:shd w:val="clear" w:color="auto" w:fill="auto"/>
          </w:tcPr>
          <w:p w14:paraId="75FFAA14" w14:textId="4CAB684C" w:rsidR="00E607AB" w:rsidRPr="00095CC9" w:rsidRDefault="00E607AB">
            <w:pPr>
              <w:rPr>
                <w:rFonts w:ascii="Arial" w:hAnsi="Arial" w:cs="Arial"/>
              </w:rPr>
            </w:pPr>
          </w:p>
        </w:tc>
        <w:tc>
          <w:tcPr>
            <w:tcW w:w="1175" w:type="dxa"/>
            <w:shd w:val="clear" w:color="auto" w:fill="auto"/>
          </w:tcPr>
          <w:p w14:paraId="6C2CB57A" w14:textId="77777777" w:rsidR="00E607AB" w:rsidRPr="00095CC9" w:rsidRDefault="00E607AB">
            <w:pPr>
              <w:rPr>
                <w:rFonts w:ascii="Arial" w:hAnsi="Arial" w:cs="Arial"/>
              </w:rPr>
            </w:pPr>
          </w:p>
        </w:tc>
        <w:tc>
          <w:tcPr>
            <w:tcW w:w="1134" w:type="dxa"/>
            <w:shd w:val="clear" w:color="auto" w:fill="auto"/>
          </w:tcPr>
          <w:p w14:paraId="0A3AFF09" w14:textId="77777777" w:rsidR="00E607AB" w:rsidRPr="00095CC9" w:rsidRDefault="00E607AB">
            <w:pPr>
              <w:rPr>
                <w:rFonts w:ascii="Arial" w:hAnsi="Arial" w:cs="Arial"/>
              </w:rPr>
            </w:pPr>
          </w:p>
        </w:tc>
        <w:tc>
          <w:tcPr>
            <w:tcW w:w="6060" w:type="dxa"/>
            <w:shd w:val="clear" w:color="auto" w:fill="auto"/>
          </w:tcPr>
          <w:p w14:paraId="1456BD89" w14:textId="77777777" w:rsidR="00E607AB" w:rsidRPr="00095CC9" w:rsidRDefault="00E607AB">
            <w:pPr>
              <w:rPr>
                <w:rFonts w:ascii="Arial" w:hAnsi="Arial" w:cs="Arial"/>
              </w:rPr>
            </w:pPr>
          </w:p>
        </w:tc>
        <w:tc>
          <w:tcPr>
            <w:tcW w:w="2790" w:type="dxa"/>
            <w:shd w:val="clear" w:color="auto" w:fill="auto"/>
          </w:tcPr>
          <w:p w14:paraId="5EB1EC43" w14:textId="77777777" w:rsidR="00E607AB" w:rsidRPr="00095CC9" w:rsidRDefault="00E607AB">
            <w:pPr>
              <w:rPr>
                <w:rFonts w:ascii="Arial" w:hAnsi="Arial" w:cs="Arial"/>
              </w:rPr>
            </w:pPr>
          </w:p>
        </w:tc>
      </w:tr>
      <w:tr w:rsidR="00E607AB" w:rsidRPr="00095CC9" w14:paraId="4D4C1C0C" w14:textId="77777777">
        <w:tc>
          <w:tcPr>
            <w:tcW w:w="13948" w:type="dxa"/>
            <w:gridSpan w:val="5"/>
          </w:tcPr>
          <w:p w14:paraId="59AFEE0C" w14:textId="565404E3" w:rsidR="00E607AB" w:rsidRPr="00095CC9" w:rsidRDefault="00E607AB" w:rsidP="00E607AB">
            <w:pPr>
              <w:rPr>
                <w:rFonts w:ascii="Arial" w:hAnsi="Arial" w:cs="Arial"/>
              </w:rPr>
            </w:pPr>
            <w:r w:rsidRPr="00095CC9">
              <w:rPr>
                <w:rFonts w:ascii="Arial" w:hAnsi="Arial" w:cs="Arial"/>
                <w:b/>
                <w:bCs/>
              </w:rPr>
              <w:t>Routes to competence</w:t>
            </w:r>
          </w:p>
        </w:tc>
      </w:tr>
      <w:tr w:rsidR="00E607AB" w:rsidRPr="00095CC9" w14:paraId="7A02FA10" w14:textId="77777777">
        <w:tc>
          <w:tcPr>
            <w:tcW w:w="2789" w:type="dxa"/>
          </w:tcPr>
          <w:p w14:paraId="067AFDEA" w14:textId="77777777" w:rsidR="00E607AB" w:rsidRPr="00095CC9" w:rsidRDefault="00E607AB">
            <w:pPr>
              <w:rPr>
                <w:rFonts w:ascii="Arial" w:hAnsi="Arial" w:cs="Arial"/>
              </w:rPr>
            </w:pPr>
          </w:p>
        </w:tc>
        <w:tc>
          <w:tcPr>
            <w:tcW w:w="1175" w:type="dxa"/>
            <w:shd w:val="clear" w:color="auto" w:fill="auto"/>
          </w:tcPr>
          <w:p w14:paraId="376BB846" w14:textId="77777777" w:rsidR="00E607AB" w:rsidRPr="00095CC9" w:rsidRDefault="00E607AB">
            <w:pPr>
              <w:rPr>
                <w:rFonts w:ascii="Arial" w:hAnsi="Arial" w:cs="Arial"/>
              </w:rPr>
            </w:pPr>
          </w:p>
        </w:tc>
        <w:tc>
          <w:tcPr>
            <w:tcW w:w="1134" w:type="dxa"/>
            <w:shd w:val="clear" w:color="auto" w:fill="auto"/>
          </w:tcPr>
          <w:p w14:paraId="3A892D19" w14:textId="77777777" w:rsidR="00E607AB" w:rsidRPr="00095CC9" w:rsidRDefault="00E607AB">
            <w:pPr>
              <w:rPr>
                <w:rFonts w:ascii="Arial" w:hAnsi="Arial" w:cs="Arial"/>
              </w:rPr>
            </w:pPr>
          </w:p>
        </w:tc>
        <w:tc>
          <w:tcPr>
            <w:tcW w:w="6060" w:type="dxa"/>
          </w:tcPr>
          <w:p w14:paraId="3B93DF7D" w14:textId="77777777" w:rsidR="00E607AB" w:rsidRPr="00095CC9" w:rsidRDefault="00E607AB">
            <w:pPr>
              <w:rPr>
                <w:rFonts w:ascii="Arial" w:hAnsi="Arial" w:cs="Arial"/>
              </w:rPr>
            </w:pPr>
          </w:p>
        </w:tc>
        <w:tc>
          <w:tcPr>
            <w:tcW w:w="2790" w:type="dxa"/>
          </w:tcPr>
          <w:p w14:paraId="32F19C39" w14:textId="77777777" w:rsidR="00E607AB" w:rsidRPr="00095CC9" w:rsidRDefault="00E607AB">
            <w:pPr>
              <w:rPr>
                <w:rFonts w:ascii="Arial" w:hAnsi="Arial" w:cs="Arial"/>
              </w:rPr>
            </w:pPr>
          </w:p>
        </w:tc>
      </w:tr>
      <w:tr w:rsidR="00E607AB" w:rsidRPr="00095CC9" w14:paraId="34633653" w14:textId="77777777">
        <w:tc>
          <w:tcPr>
            <w:tcW w:w="2789" w:type="dxa"/>
          </w:tcPr>
          <w:p w14:paraId="5C7E99E1" w14:textId="77777777" w:rsidR="00E607AB" w:rsidRPr="00095CC9" w:rsidRDefault="00E607AB">
            <w:pPr>
              <w:rPr>
                <w:rFonts w:ascii="Arial" w:hAnsi="Arial" w:cs="Arial"/>
              </w:rPr>
            </w:pPr>
            <w:r w:rsidRPr="00095CC9">
              <w:rPr>
                <w:rFonts w:ascii="Arial" w:hAnsi="Arial" w:cs="Arial"/>
              </w:rPr>
              <w:t>Prior learning requirements</w:t>
            </w:r>
          </w:p>
          <w:p w14:paraId="7FE22EAA" w14:textId="77777777" w:rsidR="00E607AB" w:rsidRPr="00095CC9" w:rsidRDefault="00E607AB">
            <w:pPr>
              <w:rPr>
                <w:rFonts w:ascii="Arial" w:hAnsi="Arial" w:cs="Arial"/>
              </w:rPr>
            </w:pPr>
          </w:p>
        </w:tc>
        <w:tc>
          <w:tcPr>
            <w:tcW w:w="1175" w:type="dxa"/>
            <w:shd w:val="clear" w:color="auto" w:fill="auto"/>
          </w:tcPr>
          <w:p w14:paraId="23253F79" w14:textId="77777777" w:rsidR="00E607AB" w:rsidRPr="00095CC9" w:rsidRDefault="00E607AB">
            <w:pPr>
              <w:rPr>
                <w:rFonts w:ascii="Arial" w:hAnsi="Arial" w:cs="Arial"/>
              </w:rPr>
            </w:pPr>
          </w:p>
        </w:tc>
        <w:tc>
          <w:tcPr>
            <w:tcW w:w="1134" w:type="dxa"/>
            <w:shd w:val="clear" w:color="auto" w:fill="auto"/>
          </w:tcPr>
          <w:p w14:paraId="6700C76B" w14:textId="77777777" w:rsidR="00E607AB" w:rsidRPr="00095CC9" w:rsidRDefault="00E607AB">
            <w:pPr>
              <w:rPr>
                <w:rFonts w:ascii="Arial" w:hAnsi="Arial" w:cs="Arial"/>
              </w:rPr>
            </w:pPr>
          </w:p>
        </w:tc>
        <w:tc>
          <w:tcPr>
            <w:tcW w:w="6060" w:type="dxa"/>
          </w:tcPr>
          <w:p w14:paraId="23EF3222" w14:textId="7090126D" w:rsidR="00E607AB" w:rsidRPr="00095CC9" w:rsidRDefault="00E607AB">
            <w:pPr>
              <w:rPr>
                <w:rFonts w:ascii="Arial" w:hAnsi="Arial" w:cs="Arial"/>
              </w:rPr>
            </w:pPr>
          </w:p>
        </w:tc>
        <w:tc>
          <w:tcPr>
            <w:tcW w:w="2790" w:type="dxa"/>
          </w:tcPr>
          <w:p w14:paraId="2A630929" w14:textId="22F37304" w:rsidR="00E607AB" w:rsidRPr="00095CC9" w:rsidRDefault="00E607AB">
            <w:pPr>
              <w:rPr>
                <w:rFonts w:ascii="Arial" w:hAnsi="Arial" w:cs="Arial"/>
              </w:rPr>
            </w:pPr>
          </w:p>
        </w:tc>
      </w:tr>
      <w:tr w:rsidR="00E607AB" w:rsidRPr="00095CC9" w14:paraId="4605D698" w14:textId="77777777">
        <w:tc>
          <w:tcPr>
            <w:tcW w:w="2789" w:type="dxa"/>
          </w:tcPr>
          <w:p w14:paraId="5D27CC1E" w14:textId="77777777" w:rsidR="00E607AB" w:rsidRPr="00095CC9" w:rsidRDefault="00E607AB">
            <w:pPr>
              <w:rPr>
                <w:rFonts w:ascii="Arial" w:hAnsi="Arial" w:cs="Arial"/>
              </w:rPr>
            </w:pPr>
            <w:r w:rsidRPr="00095CC9">
              <w:rPr>
                <w:rFonts w:ascii="Arial" w:hAnsi="Arial" w:cs="Arial"/>
              </w:rPr>
              <w:t>Initial validation</w:t>
            </w:r>
          </w:p>
          <w:p w14:paraId="5ACE7D0E" w14:textId="77777777" w:rsidR="00E607AB" w:rsidRPr="00095CC9" w:rsidRDefault="00E607AB">
            <w:pPr>
              <w:rPr>
                <w:rFonts w:ascii="Arial" w:hAnsi="Arial" w:cs="Arial"/>
              </w:rPr>
            </w:pPr>
          </w:p>
        </w:tc>
        <w:tc>
          <w:tcPr>
            <w:tcW w:w="1175" w:type="dxa"/>
            <w:shd w:val="clear" w:color="auto" w:fill="auto"/>
          </w:tcPr>
          <w:p w14:paraId="3EA059FA" w14:textId="77777777" w:rsidR="00E607AB" w:rsidRPr="00095CC9" w:rsidRDefault="00E607AB">
            <w:pPr>
              <w:rPr>
                <w:rFonts w:ascii="Arial" w:hAnsi="Arial" w:cs="Arial"/>
              </w:rPr>
            </w:pPr>
          </w:p>
        </w:tc>
        <w:tc>
          <w:tcPr>
            <w:tcW w:w="1134" w:type="dxa"/>
            <w:shd w:val="clear" w:color="auto" w:fill="auto"/>
          </w:tcPr>
          <w:p w14:paraId="28A8A822" w14:textId="77777777" w:rsidR="00E607AB" w:rsidRPr="00095CC9" w:rsidRDefault="00E607AB">
            <w:pPr>
              <w:rPr>
                <w:rFonts w:ascii="Arial" w:hAnsi="Arial" w:cs="Arial"/>
              </w:rPr>
            </w:pPr>
          </w:p>
        </w:tc>
        <w:tc>
          <w:tcPr>
            <w:tcW w:w="6060" w:type="dxa"/>
          </w:tcPr>
          <w:p w14:paraId="6946F1CC" w14:textId="7CBCA313" w:rsidR="00E607AB" w:rsidRPr="00095CC9" w:rsidRDefault="00E607AB">
            <w:pPr>
              <w:rPr>
                <w:rFonts w:ascii="Arial" w:hAnsi="Arial" w:cs="Arial"/>
              </w:rPr>
            </w:pPr>
          </w:p>
        </w:tc>
        <w:tc>
          <w:tcPr>
            <w:tcW w:w="2790" w:type="dxa"/>
          </w:tcPr>
          <w:p w14:paraId="61B709F5" w14:textId="621FE5B8" w:rsidR="00E607AB" w:rsidRPr="00095CC9" w:rsidRDefault="00E607AB">
            <w:pPr>
              <w:rPr>
                <w:rFonts w:ascii="Arial" w:hAnsi="Arial" w:cs="Arial"/>
              </w:rPr>
            </w:pPr>
          </w:p>
        </w:tc>
      </w:tr>
      <w:tr w:rsidR="00E607AB" w:rsidRPr="00095CC9" w14:paraId="6CCF2DD5" w14:textId="77777777">
        <w:tc>
          <w:tcPr>
            <w:tcW w:w="2789" w:type="dxa"/>
          </w:tcPr>
          <w:p w14:paraId="6132D1A2" w14:textId="3642B086" w:rsidR="00E607AB" w:rsidRPr="00095CC9" w:rsidRDefault="00E607AB">
            <w:pPr>
              <w:rPr>
                <w:rFonts w:ascii="Arial" w:hAnsi="Arial" w:cs="Arial"/>
              </w:rPr>
            </w:pPr>
          </w:p>
        </w:tc>
        <w:tc>
          <w:tcPr>
            <w:tcW w:w="1175" w:type="dxa"/>
            <w:shd w:val="clear" w:color="auto" w:fill="auto"/>
          </w:tcPr>
          <w:p w14:paraId="75A11BA0" w14:textId="77777777" w:rsidR="00E607AB" w:rsidRPr="00095CC9" w:rsidRDefault="00E607AB">
            <w:pPr>
              <w:rPr>
                <w:rFonts w:ascii="Arial" w:hAnsi="Arial" w:cs="Arial"/>
              </w:rPr>
            </w:pPr>
          </w:p>
        </w:tc>
        <w:tc>
          <w:tcPr>
            <w:tcW w:w="1134" w:type="dxa"/>
            <w:shd w:val="clear" w:color="auto" w:fill="auto"/>
          </w:tcPr>
          <w:p w14:paraId="40ADB8EB" w14:textId="77777777" w:rsidR="00E607AB" w:rsidRPr="00095CC9" w:rsidRDefault="00E607AB">
            <w:pPr>
              <w:rPr>
                <w:rFonts w:ascii="Arial" w:hAnsi="Arial" w:cs="Arial"/>
              </w:rPr>
            </w:pPr>
          </w:p>
        </w:tc>
        <w:tc>
          <w:tcPr>
            <w:tcW w:w="6060" w:type="dxa"/>
          </w:tcPr>
          <w:p w14:paraId="639BE982" w14:textId="77777777" w:rsidR="00E607AB" w:rsidRPr="00095CC9" w:rsidRDefault="00E607AB">
            <w:pPr>
              <w:rPr>
                <w:rFonts w:ascii="Arial" w:hAnsi="Arial" w:cs="Arial"/>
              </w:rPr>
            </w:pPr>
          </w:p>
        </w:tc>
        <w:tc>
          <w:tcPr>
            <w:tcW w:w="2790" w:type="dxa"/>
          </w:tcPr>
          <w:p w14:paraId="6F5A0DC5" w14:textId="77777777" w:rsidR="00E607AB" w:rsidRPr="00095CC9" w:rsidRDefault="00E607AB">
            <w:pPr>
              <w:rPr>
                <w:rFonts w:ascii="Arial" w:hAnsi="Arial" w:cs="Arial"/>
              </w:rPr>
            </w:pPr>
          </w:p>
        </w:tc>
      </w:tr>
      <w:tr w:rsidR="00E607AB" w:rsidRPr="00095CC9" w14:paraId="5805216E" w14:textId="77777777">
        <w:tc>
          <w:tcPr>
            <w:tcW w:w="2789" w:type="dxa"/>
          </w:tcPr>
          <w:p w14:paraId="32320E60" w14:textId="77777777" w:rsidR="00E607AB" w:rsidRPr="00095CC9" w:rsidRDefault="00E607AB">
            <w:pPr>
              <w:rPr>
                <w:rFonts w:ascii="Arial" w:hAnsi="Arial" w:cs="Arial"/>
              </w:rPr>
            </w:pPr>
            <w:r w:rsidRPr="00095CC9">
              <w:rPr>
                <w:rFonts w:ascii="Arial" w:hAnsi="Arial" w:cs="Arial"/>
              </w:rPr>
              <w:t>Safety awareness (including fire safety in buildings)</w:t>
            </w:r>
          </w:p>
        </w:tc>
        <w:tc>
          <w:tcPr>
            <w:tcW w:w="1175" w:type="dxa"/>
            <w:shd w:val="clear" w:color="auto" w:fill="auto"/>
          </w:tcPr>
          <w:p w14:paraId="455E4AD9" w14:textId="77777777" w:rsidR="00E607AB" w:rsidRPr="00095CC9" w:rsidRDefault="00E607AB">
            <w:pPr>
              <w:rPr>
                <w:rFonts w:ascii="Arial" w:hAnsi="Arial" w:cs="Arial"/>
              </w:rPr>
            </w:pPr>
          </w:p>
        </w:tc>
        <w:tc>
          <w:tcPr>
            <w:tcW w:w="1134" w:type="dxa"/>
            <w:shd w:val="clear" w:color="auto" w:fill="auto"/>
          </w:tcPr>
          <w:p w14:paraId="4D6A35BB" w14:textId="77777777" w:rsidR="00E607AB" w:rsidRPr="00095CC9" w:rsidRDefault="00E607AB">
            <w:pPr>
              <w:rPr>
                <w:rFonts w:ascii="Arial" w:hAnsi="Arial" w:cs="Arial"/>
              </w:rPr>
            </w:pPr>
          </w:p>
        </w:tc>
        <w:tc>
          <w:tcPr>
            <w:tcW w:w="6060" w:type="dxa"/>
          </w:tcPr>
          <w:p w14:paraId="72515615" w14:textId="77777777" w:rsidR="00E607AB" w:rsidRDefault="00DE0C68">
            <w:pPr>
              <w:rPr>
                <w:rFonts w:ascii="Arial" w:hAnsi="Arial" w:cs="Arial"/>
                <w:i/>
                <w:iCs/>
              </w:rPr>
            </w:pPr>
            <w:hyperlink r:id="rId16" w:history="1">
              <w:r w:rsidRPr="00DE0C68">
                <w:rPr>
                  <w:rStyle w:val="Hyperlink"/>
                  <w:rFonts w:ascii="Arial" w:hAnsi="Arial" w:cs="Arial"/>
                  <w:i/>
                  <w:iCs/>
                </w:rPr>
                <w:t xml:space="preserve">Fire Safety </w:t>
              </w:r>
              <w:proofErr w:type="gramStart"/>
              <w:r w:rsidRPr="00DE0C68">
                <w:rPr>
                  <w:rStyle w:val="Hyperlink"/>
                  <w:rFonts w:ascii="Arial" w:hAnsi="Arial" w:cs="Arial"/>
                  <w:i/>
                  <w:iCs/>
                </w:rPr>
                <w:t>In</w:t>
              </w:r>
              <w:proofErr w:type="gramEnd"/>
              <w:r w:rsidRPr="00DE0C68">
                <w:rPr>
                  <w:rStyle w:val="Hyperlink"/>
                  <w:rFonts w:ascii="Arial" w:hAnsi="Arial" w:cs="Arial"/>
                  <w:i/>
                  <w:iCs/>
                </w:rPr>
                <w:t xml:space="preserve"> Buildings Free Online Training Course</w:t>
              </w:r>
            </w:hyperlink>
            <w:r>
              <w:rPr>
                <w:rFonts w:ascii="Arial" w:hAnsi="Arial" w:cs="Arial"/>
                <w:i/>
                <w:iCs/>
              </w:rPr>
              <w:t xml:space="preserve"> is available free to everyone to access. </w:t>
            </w:r>
          </w:p>
          <w:p w14:paraId="2FB90D2A" w14:textId="77777777" w:rsidR="00F65487" w:rsidRDefault="00F65487">
            <w:pPr>
              <w:rPr>
                <w:rFonts w:ascii="Arial" w:hAnsi="Arial" w:cs="Arial"/>
                <w:i/>
                <w:iCs/>
              </w:rPr>
            </w:pPr>
          </w:p>
          <w:p w14:paraId="7E9C2B09" w14:textId="643B4E3B" w:rsidR="00F65487" w:rsidRPr="00D6351B" w:rsidRDefault="00F65487">
            <w:pPr>
              <w:rPr>
                <w:rFonts w:ascii="Arial" w:hAnsi="Arial" w:cs="Arial"/>
                <w:i/>
                <w:iCs/>
              </w:rPr>
            </w:pPr>
            <w:r>
              <w:rPr>
                <w:rFonts w:ascii="Arial" w:hAnsi="Arial" w:cs="Arial"/>
                <w:i/>
                <w:iCs/>
              </w:rPr>
              <w:t>Is there anything else beyond that your sector needs specifically – any training for fire &amp;/or safety critical elements</w:t>
            </w:r>
            <w:r w:rsidR="00156863">
              <w:rPr>
                <w:rFonts w:ascii="Arial" w:hAnsi="Arial" w:cs="Arial"/>
                <w:i/>
                <w:iCs/>
              </w:rPr>
              <w:t>?</w:t>
            </w:r>
          </w:p>
        </w:tc>
        <w:tc>
          <w:tcPr>
            <w:tcW w:w="2790" w:type="dxa"/>
          </w:tcPr>
          <w:p w14:paraId="482BEBE2" w14:textId="517F9426" w:rsidR="00E607AB" w:rsidRPr="00D6351B" w:rsidRDefault="00E607AB">
            <w:pPr>
              <w:rPr>
                <w:rFonts w:ascii="Arial" w:hAnsi="Arial" w:cs="Arial"/>
                <w:i/>
                <w:iCs/>
              </w:rPr>
            </w:pPr>
          </w:p>
        </w:tc>
      </w:tr>
      <w:tr w:rsidR="00E607AB" w:rsidRPr="00095CC9" w14:paraId="15298E50" w14:textId="77777777">
        <w:tc>
          <w:tcPr>
            <w:tcW w:w="2789" w:type="dxa"/>
          </w:tcPr>
          <w:p w14:paraId="2AF60517" w14:textId="77777777" w:rsidR="00E607AB" w:rsidRPr="00095CC9" w:rsidRDefault="00E607AB">
            <w:pPr>
              <w:rPr>
                <w:rFonts w:ascii="Arial" w:hAnsi="Arial" w:cs="Arial"/>
              </w:rPr>
            </w:pPr>
          </w:p>
        </w:tc>
        <w:tc>
          <w:tcPr>
            <w:tcW w:w="1175" w:type="dxa"/>
            <w:shd w:val="clear" w:color="auto" w:fill="auto"/>
          </w:tcPr>
          <w:p w14:paraId="3B2E0225" w14:textId="77777777" w:rsidR="00E607AB" w:rsidRPr="00095CC9" w:rsidRDefault="00E607AB">
            <w:pPr>
              <w:rPr>
                <w:rFonts w:ascii="Arial" w:hAnsi="Arial" w:cs="Arial"/>
              </w:rPr>
            </w:pPr>
          </w:p>
        </w:tc>
        <w:tc>
          <w:tcPr>
            <w:tcW w:w="1134" w:type="dxa"/>
            <w:shd w:val="clear" w:color="auto" w:fill="auto"/>
          </w:tcPr>
          <w:p w14:paraId="6F152785" w14:textId="77777777" w:rsidR="00E607AB" w:rsidRPr="00095CC9" w:rsidRDefault="00E607AB">
            <w:pPr>
              <w:rPr>
                <w:rFonts w:ascii="Arial" w:hAnsi="Arial" w:cs="Arial"/>
              </w:rPr>
            </w:pPr>
          </w:p>
        </w:tc>
        <w:tc>
          <w:tcPr>
            <w:tcW w:w="6060" w:type="dxa"/>
          </w:tcPr>
          <w:p w14:paraId="199A109B" w14:textId="77777777" w:rsidR="00E607AB" w:rsidRPr="00095CC9" w:rsidRDefault="00E607AB">
            <w:pPr>
              <w:rPr>
                <w:rFonts w:ascii="Arial" w:hAnsi="Arial" w:cs="Arial"/>
              </w:rPr>
            </w:pPr>
          </w:p>
        </w:tc>
        <w:tc>
          <w:tcPr>
            <w:tcW w:w="2790" w:type="dxa"/>
          </w:tcPr>
          <w:p w14:paraId="467BC461" w14:textId="77777777" w:rsidR="00E607AB" w:rsidRPr="00095CC9" w:rsidRDefault="00E607AB">
            <w:pPr>
              <w:rPr>
                <w:rFonts w:ascii="Arial" w:hAnsi="Arial" w:cs="Arial"/>
              </w:rPr>
            </w:pPr>
          </w:p>
        </w:tc>
      </w:tr>
      <w:tr w:rsidR="00E607AB" w:rsidRPr="00095CC9" w14:paraId="10331590" w14:textId="77777777">
        <w:tc>
          <w:tcPr>
            <w:tcW w:w="2789" w:type="dxa"/>
          </w:tcPr>
          <w:p w14:paraId="551465CA" w14:textId="77777777" w:rsidR="00E607AB" w:rsidRPr="00095CC9" w:rsidRDefault="00E607AB">
            <w:pPr>
              <w:rPr>
                <w:rFonts w:ascii="Arial" w:hAnsi="Arial" w:cs="Arial"/>
              </w:rPr>
            </w:pPr>
            <w:r w:rsidRPr="00095CC9">
              <w:rPr>
                <w:rFonts w:ascii="Arial" w:hAnsi="Arial" w:cs="Arial"/>
              </w:rPr>
              <w:t>Maintaining competence</w:t>
            </w:r>
          </w:p>
          <w:p w14:paraId="0A91D2B3" w14:textId="77777777" w:rsidR="00E607AB" w:rsidRPr="00095CC9" w:rsidRDefault="00E607AB">
            <w:pPr>
              <w:rPr>
                <w:rFonts w:ascii="Arial" w:hAnsi="Arial" w:cs="Arial"/>
              </w:rPr>
            </w:pPr>
          </w:p>
        </w:tc>
        <w:tc>
          <w:tcPr>
            <w:tcW w:w="1175" w:type="dxa"/>
            <w:shd w:val="clear" w:color="auto" w:fill="auto"/>
          </w:tcPr>
          <w:p w14:paraId="174CC81D" w14:textId="77777777" w:rsidR="00E607AB" w:rsidRPr="00095CC9" w:rsidRDefault="00E607AB">
            <w:pPr>
              <w:rPr>
                <w:rFonts w:ascii="Arial" w:hAnsi="Arial" w:cs="Arial"/>
              </w:rPr>
            </w:pPr>
          </w:p>
        </w:tc>
        <w:tc>
          <w:tcPr>
            <w:tcW w:w="1134" w:type="dxa"/>
            <w:shd w:val="clear" w:color="auto" w:fill="auto"/>
          </w:tcPr>
          <w:p w14:paraId="77A5C504" w14:textId="77777777" w:rsidR="00E607AB" w:rsidRPr="00095CC9" w:rsidRDefault="00E607AB">
            <w:pPr>
              <w:rPr>
                <w:rFonts w:ascii="Arial" w:hAnsi="Arial" w:cs="Arial"/>
              </w:rPr>
            </w:pPr>
          </w:p>
        </w:tc>
        <w:tc>
          <w:tcPr>
            <w:tcW w:w="6060" w:type="dxa"/>
          </w:tcPr>
          <w:p w14:paraId="2D842B68" w14:textId="1ED71300" w:rsidR="00E607AB" w:rsidRPr="00D6351B" w:rsidRDefault="00F65487">
            <w:pPr>
              <w:rPr>
                <w:rFonts w:ascii="Arial" w:hAnsi="Arial" w:cs="Arial"/>
                <w:i/>
                <w:iCs/>
              </w:rPr>
            </w:pPr>
            <w:r>
              <w:rPr>
                <w:rFonts w:ascii="Arial" w:hAnsi="Arial" w:cs="Arial"/>
                <w:i/>
                <w:iCs/>
              </w:rPr>
              <w:t xml:space="preserve">How will your installers maintain their </w:t>
            </w:r>
            <w:r w:rsidR="00156863">
              <w:rPr>
                <w:rFonts w:ascii="Arial" w:hAnsi="Arial" w:cs="Arial"/>
                <w:i/>
                <w:iCs/>
              </w:rPr>
              <w:t>competence</w:t>
            </w:r>
            <w:r>
              <w:rPr>
                <w:rFonts w:ascii="Arial" w:hAnsi="Arial" w:cs="Arial"/>
                <w:i/>
                <w:iCs/>
              </w:rPr>
              <w:t xml:space="preserve"> over time? This could be through mandatory courses that they have to renew </w:t>
            </w:r>
            <w:proofErr w:type="gramStart"/>
            <w:r w:rsidR="00156863">
              <w:rPr>
                <w:rFonts w:ascii="Arial" w:hAnsi="Arial" w:cs="Arial"/>
                <w:i/>
                <w:iCs/>
              </w:rPr>
              <w:t>regularly</w:t>
            </w:r>
            <w:r>
              <w:rPr>
                <w:rFonts w:ascii="Arial" w:hAnsi="Arial" w:cs="Arial"/>
                <w:i/>
                <w:iCs/>
              </w:rPr>
              <w:t>,</w:t>
            </w:r>
            <w:proofErr w:type="gramEnd"/>
            <w:r>
              <w:rPr>
                <w:rFonts w:ascii="Arial" w:hAnsi="Arial" w:cs="Arial"/>
                <w:i/>
                <w:iCs/>
              </w:rPr>
              <w:t xml:space="preserve"> it could be through a set number of CPD hours</w:t>
            </w:r>
            <w:r w:rsidR="00BB2622">
              <w:rPr>
                <w:rFonts w:ascii="Arial" w:hAnsi="Arial" w:cs="Arial"/>
                <w:i/>
                <w:iCs/>
              </w:rPr>
              <w:t>. These things can be used to ‘trigger’ the renewal of a card scheme card when it is up for renewal.</w:t>
            </w:r>
          </w:p>
        </w:tc>
        <w:tc>
          <w:tcPr>
            <w:tcW w:w="2790" w:type="dxa"/>
          </w:tcPr>
          <w:p w14:paraId="4281FF7C" w14:textId="49154972" w:rsidR="00E607AB" w:rsidRPr="00D6351B" w:rsidRDefault="00BB2622">
            <w:pPr>
              <w:rPr>
                <w:rFonts w:ascii="Arial" w:hAnsi="Arial" w:cs="Arial"/>
                <w:i/>
                <w:iCs/>
              </w:rPr>
            </w:pPr>
            <w:r>
              <w:rPr>
                <w:rFonts w:ascii="Arial" w:hAnsi="Arial" w:cs="Arial"/>
                <w:i/>
                <w:iCs/>
              </w:rPr>
              <w:t xml:space="preserve">Consider the HGV industry model, to maintain a CPC licence a driver must undertake 35 hours of training every 5 years. This is often undertaken in modules </w:t>
            </w:r>
            <w:r w:rsidR="00156863">
              <w:rPr>
                <w:rFonts w:ascii="Arial" w:hAnsi="Arial" w:cs="Arial"/>
                <w:i/>
                <w:iCs/>
              </w:rPr>
              <w:t xml:space="preserve">spread out </w:t>
            </w:r>
            <w:r>
              <w:rPr>
                <w:rFonts w:ascii="Arial" w:hAnsi="Arial" w:cs="Arial"/>
                <w:i/>
                <w:iCs/>
              </w:rPr>
              <w:t>over that timeframe.</w:t>
            </w:r>
          </w:p>
        </w:tc>
      </w:tr>
      <w:tr w:rsidR="00E607AB" w:rsidRPr="00095CC9" w14:paraId="1B25CB43" w14:textId="77777777">
        <w:tc>
          <w:tcPr>
            <w:tcW w:w="2789" w:type="dxa"/>
          </w:tcPr>
          <w:p w14:paraId="12CEDCCE" w14:textId="77777777" w:rsidR="00E607AB" w:rsidRPr="00095CC9" w:rsidRDefault="00E607AB">
            <w:pPr>
              <w:rPr>
                <w:rFonts w:ascii="Arial" w:hAnsi="Arial" w:cs="Arial"/>
              </w:rPr>
            </w:pPr>
            <w:r w:rsidRPr="00095CC9">
              <w:rPr>
                <w:rFonts w:ascii="Arial" w:hAnsi="Arial" w:cs="Arial"/>
              </w:rPr>
              <w:t>Periodic revalidation</w:t>
            </w:r>
          </w:p>
          <w:p w14:paraId="24F973C0" w14:textId="77777777" w:rsidR="00E607AB" w:rsidRPr="00095CC9" w:rsidRDefault="00E607AB">
            <w:pPr>
              <w:rPr>
                <w:rFonts w:ascii="Arial" w:hAnsi="Arial" w:cs="Arial"/>
              </w:rPr>
            </w:pPr>
          </w:p>
        </w:tc>
        <w:tc>
          <w:tcPr>
            <w:tcW w:w="1175" w:type="dxa"/>
            <w:shd w:val="clear" w:color="auto" w:fill="auto"/>
          </w:tcPr>
          <w:p w14:paraId="10DA46F9" w14:textId="77777777" w:rsidR="00E607AB" w:rsidRPr="00095CC9" w:rsidRDefault="00E607AB">
            <w:pPr>
              <w:rPr>
                <w:rFonts w:ascii="Arial" w:hAnsi="Arial" w:cs="Arial"/>
              </w:rPr>
            </w:pPr>
          </w:p>
        </w:tc>
        <w:tc>
          <w:tcPr>
            <w:tcW w:w="1134" w:type="dxa"/>
            <w:shd w:val="clear" w:color="auto" w:fill="auto"/>
          </w:tcPr>
          <w:p w14:paraId="20E1771B" w14:textId="77777777" w:rsidR="00E607AB" w:rsidRPr="00095CC9" w:rsidRDefault="00E607AB">
            <w:pPr>
              <w:rPr>
                <w:rFonts w:ascii="Arial" w:hAnsi="Arial" w:cs="Arial"/>
              </w:rPr>
            </w:pPr>
          </w:p>
        </w:tc>
        <w:tc>
          <w:tcPr>
            <w:tcW w:w="6060" w:type="dxa"/>
          </w:tcPr>
          <w:p w14:paraId="04A30694" w14:textId="2686C6FB" w:rsidR="00E607AB" w:rsidRPr="00D6351B" w:rsidRDefault="00624EFC">
            <w:pPr>
              <w:rPr>
                <w:rFonts w:ascii="Arial" w:hAnsi="Arial" w:cs="Arial"/>
                <w:i/>
                <w:iCs/>
              </w:rPr>
            </w:pPr>
            <w:r>
              <w:rPr>
                <w:rFonts w:ascii="Arial" w:hAnsi="Arial" w:cs="Arial"/>
                <w:i/>
                <w:iCs/>
              </w:rPr>
              <w:t xml:space="preserve">How often do your installers need to re- confirm that they are competent? Every 5 years? And what does the revalidation requirements look like? </w:t>
            </w:r>
          </w:p>
        </w:tc>
        <w:tc>
          <w:tcPr>
            <w:tcW w:w="2790" w:type="dxa"/>
          </w:tcPr>
          <w:p w14:paraId="7D3FFEFB" w14:textId="2DB5D1A9" w:rsidR="00E607AB" w:rsidRPr="00095CC9" w:rsidRDefault="00E607AB">
            <w:pPr>
              <w:rPr>
                <w:rFonts w:ascii="Arial" w:hAnsi="Arial" w:cs="Arial"/>
              </w:rPr>
            </w:pPr>
          </w:p>
        </w:tc>
      </w:tr>
      <w:tr w:rsidR="00E607AB" w:rsidRPr="00095CC9" w14:paraId="2E8C905A" w14:textId="77777777" w:rsidTr="00B9172C">
        <w:trPr>
          <w:trHeight w:val="54"/>
        </w:trPr>
        <w:tc>
          <w:tcPr>
            <w:tcW w:w="2789" w:type="dxa"/>
            <w:shd w:val="clear" w:color="auto" w:fill="auto"/>
          </w:tcPr>
          <w:p w14:paraId="242AA1A9" w14:textId="77777777" w:rsidR="00E607AB" w:rsidRPr="00095CC9" w:rsidRDefault="00E607AB">
            <w:pPr>
              <w:rPr>
                <w:rFonts w:ascii="Arial" w:hAnsi="Arial" w:cs="Arial"/>
              </w:rPr>
            </w:pPr>
          </w:p>
        </w:tc>
        <w:tc>
          <w:tcPr>
            <w:tcW w:w="1175" w:type="dxa"/>
            <w:shd w:val="clear" w:color="auto" w:fill="auto"/>
          </w:tcPr>
          <w:p w14:paraId="128885D2" w14:textId="77777777" w:rsidR="00E607AB" w:rsidRPr="00095CC9" w:rsidRDefault="00E607AB">
            <w:pPr>
              <w:rPr>
                <w:rFonts w:ascii="Arial" w:hAnsi="Arial" w:cs="Arial"/>
              </w:rPr>
            </w:pPr>
          </w:p>
        </w:tc>
        <w:tc>
          <w:tcPr>
            <w:tcW w:w="1134" w:type="dxa"/>
            <w:shd w:val="clear" w:color="auto" w:fill="auto"/>
          </w:tcPr>
          <w:p w14:paraId="1A829053" w14:textId="77777777" w:rsidR="00E607AB" w:rsidRPr="00095CC9" w:rsidRDefault="00E607AB">
            <w:pPr>
              <w:rPr>
                <w:rFonts w:ascii="Arial" w:hAnsi="Arial" w:cs="Arial"/>
              </w:rPr>
            </w:pPr>
          </w:p>
        </w:tc>
        <w:tc>
          <w:tcPr>
            <w:tcW w:w="6060" w:type="dxa"/>
            <w:shd w:val="clear" w:color="auto" w:fill="auto"/>
          </w:tcPr>
          <w:p w14:paraId="1DE77B20" w14:textId="77777777" w:rsidR="00E607AB" w:rsidRPr="00095CC9" w:rsidRDefault="00E607AB">
            <w:pPr>
              <w:rPr>
                <w:rFonts w:ascii="Arial" w:hAnsi="Arial" w:cs="Arial"/>
              </w:rPr>
            </w:pPr>
          </w:p>
        </w:tc>
        <w:tc>
          <w:tcPr>
            <w:tcW w:w="2790" w:type="dxa"/>
            <w:shd w:val="clear" w:color="auto" w:fill="auto"/>
          </w:tcPr>
          <w:p w14:paraId="546B2C3A" w14:textId="77777777" w:rsidR="00E607AB" w:rsidRPr="00095CC9" w:rsidRDefault="00E607AB">
            <w:pPr>
              <w:rPr>
                <w:rFonts w:ascii="Arial" w:hAnsi="Arial" w:cs="Arial"/>
              </w:rPr>
            </w:pPr>
          </w:p>
        </w:tc>
      </w:tr>
      <w:tr w:rsidR="00E607AB" w:rsidRPr="00095CC9" w14:paraId="21FABE9B" w14:textId="77777777">
        <w:tc>
          <w:tcPr>
            <w:tcW w:w="2789" w:type="dxa"/>
          </w:tcPr>
          <w:p w14:paraId="00C2DBB0" w14:textId="77777777" w:rsidR="00E607AB" w:rsidRPr="00095CC9" w:rsidRDefault="00E607AB">
            <w:pPr>
              <w:rPr>
                <w:rFonts w:ascii="Arial" w:hAnsi="Arial" w:cs="Arial"/>
              </w:rPr>
            </w:pPr>
            <w:r w:rsidRPr="00095CC9">
              <w:rPr>
                <w:rFonts w:ascii="Arial" w:hAnsi="Arial" w:cs="Arial"/>
              </w:rPr>
              <w:t>Checking competence</w:t>
            </w:r>
          </w:p>
          <w:p w14:paraId="4E728D22" w14:textId="77777777" w:rsidR="00E607AB" w:rsidRPr="00095CC9" w:rsidRDefault="00E607AB">
            <w:pPr>
              <w:rPr>
                <w:rFonts w:ascii="Arial" w:hAnsi="Arial" w:cs="Arial"/>
              </w:rPr>
            </w:pPr>
          </w:p>
        </w:tc>
        <w:tc>
          <w:tcPr>
            <w:tcW w:w="1175" w:type="dxa"/>
            <w:shd w:val="clear" w:color="auto" w:fill="D9D9D9" w:themeFill="background1" w:themeFillShade="D9"/>
          </w:tcPr>
          <w:p w14:paraId="1B9D32E9" w14:textId="77777777" w:rsidR="00E607AB" w:rsidRPr="00095CC9" w:rsidRDefault="00E607AB">
            <w:pPr>
              <w:rPr>
                <w:rFonts w:ascii="Arial" w:hAnsi="Arial" w:cs="Arial"/>
              </w:rPr>
            </w:pPr>
          </w:p>
        </w:tc>
        <w:tc>
          <w:tcPr>
            <w:tcW w:w="1134" w:type="dxa"/>
            <w:shd w:val="clear" w:color="auto" w:fill="auto"/>
          </w:tcPr>
          <w:p w14:paraId="78B6E69D" w14:textId="77777777" w:rsidR="00E607AB" w:rsidRPr="00095CC9" w:rsidRDefault="00E607AB">
            <w:pPr>
              <w:rPr>
                <w:rFonts w:ascii="Arial" w:hAnsi="Arial" w:cs="Arial"/>
              </w:rPr>
            </w:pPr>
          </w:p>
        </w:tc>
        <w:tc>
          <w:tcPr>
            <w:tcW w:w="6060" w:type="dxa"/>
          </w:tcPr>
          <w:p w14:paraId="1BBA0A4D" w14:textId="6BAE5F0E" w:rsidR="00E607AB" w:rsidRPr="00D6351B" w:rsidRDefault="00156863">
            <w:pPr>
              <w:rPr>
                <w:rFonts w:ascii="Arial" w:hAnsi="Arial" w:cs="Arial"/>
                <w:i/>
                <w:iCs/>
              </w:rPr>
            </w:pPr>
            <w:r>
              <w:rPr>
                <w:rFonts w:ascii="Arial" w:hAnsi="Arial" w:cs="Arial"/>
                <w:i/>
                <w:iCs/>
              </w:rPr>
              <w:t>How are you going to deem the installer competent in the first instance? And then on an ongoing basis?</w:t>
            </w:r>
          </w:p>
        </w:tc>
        <w:tc>
          <w:tcPr>
            <w:tcW w:w="2790" w:type="dxa"/>
          </w:tcPr>
          <w:p w14:paraId="4B29E9CA" w14:textId="300988F9" w:rsidR="00E607AB" w:rsidRPr="00095CC9" w:rsidRDefault="00E607AB">
            <w:pPr>
              <w:rPr>
                <w:rFonts w:ascii="Arial" w:hAnsi="Arial" w:cs="Arial"/>
              </w:rPr>
            </w:pPr>
          </w:p>
        </w:tc>
      </w:tr>
      <w:tr w:rsidR="005C73DF" w:rsidRPr="00095CC9" w14:paraId="340F43C4" w14:textId="77777777" w:rsidTr="005C73DF">
        <w:tc>
          <w:tcPr>
            <w:tcW w:w="2789" w:type="dxa"/>
            <w:shd w:val="clear" w:color="auto" w:fill="auto"/>
          </w:tcPr>
          <w:p w14:paraId="6A4F7085" w14:textId="77777777" w:rsidR="005C73DF" w:rsidRPr="00095CC9" w:rsidRDefault="005C73DF">
            <w:pPr>
              <w:rPr>
                <w:rFonts w:ascii="Arial" w:hAnsi="Arial" w:cs="Arial"/>
              </w:rPr>
            </w:pPr>
          </w:p>
        </w:tc>
        <w:tc>
          <w:tcPr>
            <w:tcW w:w="1175" w:type="dxa"/>
            <w:shd w:val="clear" w:color="auto" w:fill="auto"/>
          </w:tcPr>
          <w:p w14:paraId="049C923C" w14:textId="77777777" w:rsidR="005C73DF" w:rsidRPr="00095CC9" w:rsidRDefault="005C73DF">
            <w:pPr>
              <w:rPr>
                <w:rFonts w:ascii="Arial" w:hAnsi="Arial" w:cs="Arial"/>
              </w:rPr>
            </w:pPr>
          </w:p>
        </w:tc>
        <w:tc>
          <w:tcPr>
            <w:tcW w:w="1134" w:type="dxa"/>
            <w:shd w:val="clear" w:color="auto" w:fill="auto"/>
          </w:tcPr>
          <w:p w14:paraId="05A2BB34" w14:textId="77777777" w:rsidR="005C73DF" w:rsidRPr="00095CC9" w:rsidRDefault="005C73DF">
            <w:pPr>
              <w:rPr>
                <w:rFonts w:ascii="Arial" w:hAnsi="Arial" w:cs="Arial"/>
              </w:rPr>
            </w:pPr>
          </w:p>
        </w:tc>
        <w:tc>
          <w:tcPr>
            <w:tcW w:w="6060" w:type="dxa"/>
          </w:tcPr>
          <w:p w14:paraId="4EF45E3B" w14:textId="77777777" w:rsidR="005C73DF" w:rsidRPr="00095CC9" w:rsidRDefault="005C73DF">
            <w:pPr>
              <w:rPr>
                <w:rFonts w:ascii="Arial" w:hAnsi="Arial" w:cs="Arial"/>
              </w:rPr>
            </w:pPr>
          </w:p>
        </w:tc>
        <w:tc>
          <w:tcPr>
            <w:tcW w:w="2790" w:type="dxa"/>
          </w:tcPr>
          <w:p w14:paraId="0FCFDAF3" w14:textId="77777777" w:rsidR="005C73DF" w:rsidRPr="00095CC9" w:rsidRDefault="005C73DF">
            <w:pPr>
              <w:rPr>
                <w:rFonts w:ascii="Arial" w:hAnsi="Arial" w:cs="Arial"/>
              </w:rPr>
            </w:pPr>
          </w:p>
        </w:tc>
      </w:tr>
      <w:tr w:rsidR="005C73DF" w:rsidRPr="00095CC9" w14:paraId="6B6FF3B2" w14:textId="77777777">
        <w:tc>
          <w:tcPr>
            <w:tcW w:w="13948" w:type="dxa"/>
            <w:gridSpan w:val="5"/>
            <w:shd w:val="clear" w:color="auto" w:fill="auto"/>
          </w:tcPr>
          <w:p w14:paraId="12D75F4E" w14:textId="19D9B6C1" w:rsidR="005C73DF" w:rsidRPr="00095CC9" w:rsidRDefault="005C73DF">
            <w:pPr>
              <w:rPr>
                <w:rFonts w:ascii="Arial" w:hAnsi="Arial" w:cs="Arial"/>
              </w:rPr>
            </w:pPr>
            <w:r w:rsidRPr="00095CC9">
              <w:rPr>
                <w:rFonts w:ascii="Arial" w:hAnsi="Arial" w:cs="Arial"/>
                <w:b/>
                <w:bCs/>
              </w:rPr>
              <w:t>Implementation</w:t>
            </w:r>
          </w:p>
        </w:tc>
      </w:tr>
      <w:tr w:rsidR="005C73DF" w:rsidRPr="00095CC9" w14:paraId="66297B56" w14:textId="77777777" w:rsidTr="005C73DF">
        <w:tc>
          <w:tcPr>
            <w:tcW w:w="2789" w:type="dxa"/>
            <w:shd w:val="clear" w:color="auto" w:fill="auto"/>
          </w:tcPr>
          <w:p w14:paraId="7E8C5BDC" w14:textId="77777777" w:rsidR="005C73DF" w:rsidRPr="00095CC9" w:rsidRDefault="005C73DF">
            <w:pPr>
              <w:rPr>
                <w:rFonts w:ascii="Arial" w:hAnsi="Arial" w:cs="Arial"/>
              </w:rPr>
            </w:pPr>
          </w:p>
        </w:tc>
        <w:tc>
          <w:tcPr>
            <w:tcW w:w="1175" w:type="dxa"/>
            <w:shd w:val="clear" w:color="auto" w:fill="auto"/>
          </w:tcPr>
          <w:p w14:paraId="69AD010E" w14:textId="77777777" w:rsidR="005C73DF" w:rsidRPr="00095CC9" w:rsidRDefault="005C73DF">
            <w:pPr>
              <w:rPr>
                <w:rFonts w:ascii="Arial" w:hAnsi="Arial" w:cs="Arial"/>
              </w:rPr>
            </w:pPr>
          </w:p>
        </w:tc>
        <w:tc>
          <w:tcPr>
            <w:tcW w:w="1134" w:type="dxa"/>
            <w:shd w:val="clear" w:color="auto" w:fill="auto"/>
          </w:tcPr>
          <w:p w14:paraId="2D0E52EC" w14:textId="77777777" w:rsidR="005C73DF" w:rsidRPr="00095CC9" w:rsidRDefault="005C73DF">
            <w:pPr>
              <w:rPr>
                <w:rFonts w:ascii="Arial" w:hAnsi="Arial" w:cs="Arial"/>
              </w:rPr>
            </w:pPr>
          </w:p>
        </w:tc>
        <w:tc>
          <w:tcPr>
            <w:tcW w:w="6060" w:type="dxa"/>
          </w:tcPr>
          <w:p w14:paraId="19900399" w14:textId="77777777" w:rsidR="005C73DF" w:rsidRPr="00095CC9" w:rsidRDefault="005C73DF">
            <w:pPr>
              <w:rPr>
                <w:rFonts w:ascii="Arial" w:hAnsi="Arial" w:cs="Arial"/>
              </w:rPr>
            </w:pPr>
          </w:p>
        </w:tc>
        <w:tc>
          <w:tcPr>
            <w:tcW w:w="2790" w:type="dxa"/>
          </w:tcPr>
          <w:p w14:paraId="44E6D295" w14:textId="77777777" w:rsidR="005C73DF" w:rsidRPr="00095CC9" w:rsidRDefault="005C73DF">
            <w:pPr>
              <w:rPr>
                <w:rFonts w:ascii="Arial" w:hAnsi="Arial" w:cs="Arial"/>
              </w:rPr>
            </w:pPr>
          </w:p>
        </w:tc>
      </w:tr>
      <w:tr w:rsidR="00E607AB" w:rsidRPr="00095CC9" w14:paraId="33E7CADE" w14:textId="77777777">
        <w:tc>
          <w:tcPr>
            <w:tcW w:w="2789" w:type="dxa"/>
          </w:tcPr>
          <w:p w14:paraId="33DED42E" w14:textId="43AF466D" w:rsidR="00E607AB" w:rsidRPr="00095CC9" w:rsidRDefault="00E607AB">
            <w:pPr>
              <w:rPr>
                <w:rFonts w:ascii="Arial" w:hAnsi="Arial" w:cs="Arial"/>
              </w:rPr>
            </w:pPr>
            <w:r w:rsidRPr="00095CC9">
              <w:rPr>
                <w:rFonts w:ascii="Arial" w:hAnsi="Arial" w:cs="Arial"/>
              </w:rPr>
              <w:t>Estimated current (</w:t>
            </w:r>
            <w:r w:rsidR="00156863">
              <w:rPr>
                <w:rFonts w:ascii="Arial" w:hAnsi="Arial" w:cs="Arial"/>
              </w:rPr>
              <w:t>Jan 2025</w:t>
            </w:r>
            <w:r w:rsidRPr="00095CC9">
              <w:rPr>
                <w:rFonts w:ascii="Arial" w:hAnsi="Arial" w:cs="Arial"/>
              </w:rPr>
              <w:t>) level of sector alignment with competence framework</w:t>
            </w:r>
          </w:p>
        </w:tc>
        <w:tc>
          <w:tcPr>
            <w:tcW w:w="1175" w:type="dxa"/>
            <w:shd w:val="clear" w:color="auto" w:fill="D9D9D9" w:themeFill="background1" w:themeFillShade="D9"/>
          </w:tcPr>
          <w:p w14:paraId="067EC9AC" w14:textId="77777777" w:rsidR="00E607AB" w:rsidRPr="00095CC9" w:rsidRDefault="00E607AB">
            <w:pPr>
              <w:rPr>
                <w:rFonts w:ascii="Arial" w:hAnsi="Arial" w:cs="Arial"/>
              </w:rPr>
            </w:pPr>
          </w:p>
        </w:tc>
        <w:tc>
          <w:tcPr>
            <w:tcW w:w="1134" w:type="dxa"/>
            <w:shd w:val="clear" w:color="auto" w:fill="auto"/>
          </w:tcPr>
          <w:p w14:paraId="490B809C" w14:textId="77777777" w:rsidR="00E607AB" w:rsidRPr="00095CC9" w:rsidRDefault="00E607AB">
            <w:pPr>
              <w:rPr>
                <w:rFonts w:ascii="Arial" w:hAnsi="Arial" w:cs="Arial"/>
              </w:rPr>
            </w:pPr>
          </w:p>
        </w:tc>
        <w:tc>
          <w:tcPr>
            <w:tcW w:w="6060" w:type="dxa"/>
          </w:tcPr>
          <w:p w14:paraId="5951B231" w14:textId="18C8C762" w:rsidR="00E607AB" w:rsidRPr="00095CC9" w:rsidRDefault="00E607AB">
            <w:pPr>
              <w:rPr>
                <w:rFonts w:ascii="Arial" w:hAnsi="Arial" w:cs="Arial"/>
              </w:rPr>
            </w:pPr>
          </w:p>
        </w:tc>
        <w:tc>
          <w:tcPr>
            <w:tcW w:w="2790" w:type="dxa"/>
          </w:tcPr>
          <w:p w14:paraId="2E2DF39E" w14:textId="4097C0B5" w:rsidR="00E607AB" w:rsidRPr="00095CC9" w:rsidRDefault="00E607AB">
            <w:pPr>
              <w:rPr>
                <w:rFonts w:ascii="Arial" w:hAnsi="Arial" w:cs="Arial"/>
              </w:rPr>
            </w:pPr>
          </w:p>
        </w:tc>
      </w:tr>
      <w:tr w:rsidR="00E607AB" w:rsidRPr="00095CC9" w14:paraId="565785DE" w14:textId="77777777">
        <w:tc>
          <w:tcPr>
            <w:tcW w:w="2789" w:type="dxa"/>
          </w:tcPr>
          <w:p w14:paraId="5E5E71A6" w14:textId="77777777" w:rsidR="00E607AB" w:rsidRPr="00095CC9" w:rsidRDefault="00E607AB">
            <w:pPr>
              <w:rPr>
                <w:rFonts w:ascii="Arial" w:hAnsi="Arial" w:cs="Arial"/>
              </w:rPr>
            </w:pPr>
            <w:r w:rsidRPr="00095CC9">
              <w:rPr>
                <w:rFonts w:ascii="Arial" w:hAnsi="Arial" w:cs="Arial"/>
              </w:rPr>
              <w:t>Comprehensiveness of sector ‘Fit for the Future’ plan</w:t>
            </w:r>
          </w:p>
          <w:p w14:paraId="683AE6B0" w14:textId="77777777" w:rsidR="00E607AB" w:rsidRPr="00095CC9" w:rsidRDefault="00E607AB">
            <w:pPr>
              <w:rPr>
                <w:rFonts w:ascii="Arial" w:hAnsi="Arial" w:cs="Arial"/>
              </w:rPr>
            </w:pPr>
          </w:p>
        </w:tc>
        <w:tc>
          <w:tcPr>
            <w:tcW w:w="1175" w:type="dxa"/>
            <w:shd w:val="clear" w:color="auto" w:fill="D9D9D9" w:themeFill="background1" w:themeFillShade="D9"/>
          </w:tcPr>
          <w:p w14:paraId="36B0D1AB" w14:textId="77777777" w:rsidR="00E607AB" w:rsidRPr="00095CC9" w:rsidRDefault="00E607AB">
            <w:pPr>
              <w:rPr>
                <w:rFonts w:ascii="Arial" w:hAnsi="Arial" w:cs="Arial"/>
              </w:rPr>
            </w:pPr>
          </w:p>
        </w:tc>
        <w:tc>
          <w:tcPr>
            <w:tcW w:w="1134" w:type="dxa"/>
            <w:shd w:val="clear" w:color="auto" w:fill="auto"/>
          </w:tcPr>
          <w:p w14:paraId="38685DE5" w14:textId="77777777" w:rsidR="00E607AB" w:rsidRPr="00095CC9" w:rsidRDefault="00E607AB">
            <w:pPr>
              <w:rPr>
                <w:rFonts w:ascii="Arial" w:hAnsi="Arial" w:cs="Arial"/>
              </w:rPr>
            </w:pPr>
          </w:p>
        </w:tc>
        <w:tc>
          <w:tcPr>
            <w:tcW w:w="6060" w:type="dxa"/>
          </w:tcPr>
          <w:p w14:paraId="16E6ECB1" w14:textId="2F77991A" w:rsidR="00E607AB" w:rsidRPr="00095CC9" w:rsidRDefault="00E607AB">
            <w:pPr>
              <w:rPr>
                <w:rFonts w:ascii="Arial" w:hAnsi="Arial" w:cs="Arial"/>
              </w:rPr>
            </w:pPr>
          </w:p>
        </w:tc>
        <w:tc>
          <w:tcPr>
            <w:tcW w:w="2790" w:type="dxa"/>
          </w:tcPr>
          <w:p w14:paraId="3412F541" w14:textId="6995B618" w:rsidR="00E607AB" w:rsidRPr="00095CC9" w:rsidRDefault="00E607AB">
            <w:pPr>
              <w:rPr>
                <w:rFonts w:ascii="Arial" w:hAnsi="Arial" w:cs="Arial"/>
              </w:rPr>
            </w:pPr>
          </w:p>
        </w:tc>
      </w:tr>
      <w:bookmarkEnd w:id="3"/>
    </w:tbl>
    <w:p w14:paraId="2451DF00" w14:textId="77777777" w:rsidR="00E72C6F" w:rsidRPr="00095CC9" w:rsidRDefault="00E72C6F" w:rsidP="00E72C6F">
      <w:pPr>
        <w:spacing w:after="0"/>
        <w:jc w:val="both"/>
        <w:rPr>
          <w:rFonts w:ascii="Arial" w:hAnsi="Arial" w:cs="Arial"/>
        </w:rPr>
      </w:pPr>
    </w:p>
    <w:p w14:paraId="130464D9" w14:textId="77777777" w:rsidR="00E607AB" w:rsidRPr="00095CC9" w:rsidRDefault="00E607AB" w:rsidP="00E72C6F">
      <w:pPr>
        <w:spacing w:after="0"/>
        <w:jc w:val="both"/>
        <w:rPr>
          <w:rFonts w:ascii="Arial" w:hAnsi="Arial" w:cs="Arial"/>
        </w:rPr>
      </w:pPr>
    </w:p>
    <w:p w14:paraId="1BAD2A4C" w14:textId="77777777" w:rsidR="005C73DF" w:rsidRPr="00095CC9" w:rsidRDefault="005C73DF">
      <w:pPr>
        <w:rPr>
          <w:rFonts w:ascii="Arial" w:hAnsi="Arial" w:cs="Arial"/>
        </w:rPr>
        <w:sectPr w:rsidR="005C73DF" w:rsidRPr="00095CC9" w:rsidSect="00E607AB">
          <w:pgSz w:w="16838" w:h="11906" w:orient="landscape" w:code="9"/>
          <w:pgMar w:top="720" w:right="720" w:bottom="720" w:left="720" w:header="709" w:footer="709" w:gutter="0"/>
          <w:cols w:space="708"/>
          <w:docGrid w:linePitch="360"/>
        </w:sectPr>
      </w:pPr>
      <w:r w:rsidRPr="00095CC9">
        <w:rPr>
          <w:rFonts w:ascii="Arial" w:hAnsi="Arial" w:cs="Arial"/>
        </w:rPr>
        <w:br w:type="page"/>
      </w:r>
    </w:p>
    <w:p w14:paraId="582198AF" w14:textId="3D0E4A86" w:rsidR="002A3C15" w:rsidRPr="00095CC9" w:rsidRDefault="002A3C15" w:rsidP="005C73DF">
      <w:pPr>
        <w:pStyle w:val="Heading1"/>
        <w:numPr>
          <w:ilvl w:val="0"/>
          <w:numId w:val="1"/>
        </w:numPr>
        <w:rPr>
          <w:rFonts w:ascii="Arial" w:hAnsi="Arial" w:cs="Arial"/>
          <w:sz w:val="22"/>
          <w:szCs w:val="22"/>
        </w:rPr>
      </w:pPr>
      <w:bookmarkStart w:id="4" w:name="_Toc187676483"/>
      <w:r w:rsidRPr="00095CC9">
        <w:rPr>
          <w:rFonts w:ascii="Arial" w:hAnsi="Arial" w:cs="Arial"/>
          <w:sz w:val="22"/>
          <w:szCs w:val="22"/>
        </w:rPr>
        <w:t>Current Route to Competence Diagram</w:t>
      </w:r>
      <w:bookmarkEnd w:id="4"/>
    </w:p>
    <w:p w14:paraId="2BB63ED2" w14:textId="77777777" w:rsidR="002A3C15" w:rsidRPr="00095CC9" w:rsidRDefault="002A3C15" w:rsidP="002A3C15">
      <w:pPr>
        <w:pStyle w:val="Heading1"/>
        <w:ind w:left="360"/>
        <w:rPr>
          <w:rFonts w:ascii="Arial" w:hAnsi="Arial" w:cs="Arial"/>
          <w:sz w:val="22"/>
          <w:szCs w:val="22"/>
        </w:rPr>
      </w:pPr>
    </w:p>
    <w:p w14:paraId="2C3A526C" w14:textId="02F7C0E5" w:rsidR="002A3C15" w:rsidRPr="00095CC9" w:rsidRDefault="002A3C15" w:rsidP="002A3C15">
      <w:pPr>
        <w:rPr>
          <w:rFonts w:ascii="Arial" w:hAnsi="Arial" w:cs="Arial"/>
        </w:rPr>
      </w:pPr>
      <w:r w:rsidRPr="00095CC9">
        <w:rPr>
          <w:rFonts w:ascii="Arial" w:hAnsi="Arial" w:cs="Arial"/>
        </w:rPr>
        <w:t>Include image of current R</w:t>
      </w:r>
      <w:r w:rsidR="00A654DC">
        <w:rPr>
          <w:rFonts w:ascii="Arial" w:hAnsi="Arial" w:cs="Arial"/>
        </w:rPr>
        <w:t>oute to Competence</w:t>
      </w:r>
      <w:r w:rsidR="009505B3" w:rsidRPr="00095CC9">
        <w:rPr>
          <w:rFonts w:ascii="Arial" w:hAnsi="Arial" w:cs="Arial"/>
        </w:rPr>
        <w:t>.</w:t>
      </w:r>
    </w:p>
    <w:p w14:paraId="605619A7" w14:textId="77777777" w:rsidR="00E72C6F" w:rsidRPr="00095CC9" w:rsidRDefault="00E72C6F" w:rsidP="00E72C6F">
      <w:pPr>
        <w:spacing w:after="0"/>
        <w:jc w:val="both"/>
        <w:rPr>
          <w:rFonts w:ascii="Arial" w:hAnsi="Arial" w:cs="Arial"/>
        </w:rPr>
      </w:pPr>
    </w:p>
    <w:p w14:paraId="6222F641" w14:textId="1DD1AD53" w:rsidR="00E72C6F" w:rsidRPr="00095CC9" w:rsidRDefault="00E607AB" w:rsidP="005C73DF">
      <w:pPr>
        <w:pStyle w:val="Heading1"/>
        <w:numPr>
          <w:ilvl w:val="0"/>
          <w:numId w:val="1"/>
        </w:numPr>
        <w:rPr>
          <w:rFonts w:ascii="Arial" w:hAnsi="Arial" w:cs="Arial"/>
          <w:sz w:val="22"/>
          <w:szCs w:val="22"/>
        </w:rPr>
      </w:pPr>
      <w:bookmarkStart w:id="5" w:name="_Toc187676484"/>
      <w:r w:rsidRPr="00095CC9">
        <w:rPr>
          <w:rFonts w:ascii="Arial" w:hAnsi="Arial" w:cs="Arial"/>
          <w:sz w:val="22"/>
          <w:szCs w:val="22"/>
        </w:rPr>
        <w:t>Competence Framework</w:t>
      </w:r>
      <w:bookmarkEnd w:id="5"/>
    </w:p>
    <w:p w14:paraId="136637B2" w14:textId="77777777" w:rsidR="002A3C15" w:rsidRPr="00095CC9" w:rsidRDefault="002A3C15" w:rsidP="00E72C6F">
      <w:pPr>
        <w:spacing w:after="0"/>
        <w:jc w:val="both"/>
        <w:rPr>
          <w:rFonts w:ascii="Arial" w:hAnsi="Arial" w:cs="Arial"/>
        </w:rPr>
      </w:pPr>
    </w:p>
    <w:p w14:paraId="23F9A554" w14:textId="06AEEADA" w:rsidR="009505B3" w:rsidRPr="00095CC9" w:rsidRDefault="00E607AB" w:rsidP="009505B3">
      <w:pPr>
        <w:rPr>
          <w:rFonts w:ascii="Arial" w:hAnsi="Arial" w:cs="Arial"/>
        </w:rPr>
      </w:pPr>
      <w:r w:rsidRPr="00095CC9">
        <w:rPr>
          <w:rFonts w:ascii="Arial" w:hAnsi="Arial" w:cs="Arial"/>
        </w:rPr>
        <w:t xml:space="preserve">Link to the following documents that make up the </w:t>
      </w:r>
      <w:r w:rsidR="009505B3" w:rsidRPr="00095CC9">
        <w:rPr>
          <w:rFonts w:ascii="Arial" w:hAnsi="Arial" w:cs="Arial"/>
        </w:rPr>
        <w:t>Competence frameworks</w:t>
      </w:r>
      <w:r w:rsidRPr="00095CC9">
        <w:rPr>
          <w:rFonts w:ascii="Arial" w:hAnsi="Arial" w:cs="Arial"/>
        </w:rPr>
        <w:t>:</w:t>
      </w:r>
    </w:p>
    <w:p w14:paraId="5FF75252" w14:textId="704D766B" w:rsidR="009505B3" w:rsidRPr="00095CC9" w:rsidRDefault="009505B3" w:rsidP="005C73DF">
      <w:pPr>
        <w:pStyle w:val="ListParagraph"/>
        <w:numPr>
          <w:ilvl w:val="0"/>
          <w:numId w:val="4"/>
        </w:numPr>
        <w:spacing w:after="0" w:line="240" w:lineRule="auto"/>
        <w:contextualSpacing w:val="0"/>
        <w:rPr>
          <w:rFonts w:ascii="Arial" w:hAnsi="Arial" w:cs="Arial"/>
        </w:rPr>
      </w:pPr>
      <w:r w:rsidRPr="00095CC9">
        <w:rPr>
          <w:rFonts w:ascii="Arial" w:hAnsi="Arial" w:cs="Arial"/>
        </w:rPr>
        <w:t>SKEB Statement</w:t>
      </w:r>
      <w:r w:rsidR="00BB302A">
        <w:rPr>
          <w:rFonts w:ascii="Arial" w:hAnsi="Arial" w:cs="Arial"/>
        </w:rPr>
        <w:t>s</w:t>
      </w:r>
      <w:r w:rsidRPr="00095CC9">
        <w:rPr>
          <w:rFonts w:ascii="Arial" w:hAnsi="Arial" w:cs="Arial"/>
        </w:rPr>
        <w:t xml:space="preserve"> - listing the skills, knowledge, experience and behaviours (SKEB) required to obtain competence in the occupation(s).</w:t>
      </w:r>
    </w:p>
    <w:p w14:paraId="2E1DEFE1" w14:textId="77777777" w:rsidR="009505B3" w:rsidRPr="00095CC9" w:rsidRDefault="009505B3" w:rsidP="005C73DF">
      <w:pPr>
        <w:pStyle w:val="ListParagraph"/>
        <w:numPr>
          <w:ilvl w:val="0"/>
          <w:numId w:val="4"/>
        </w:numPr>
        <w:spacing w:after="0" w:line="240" w:lineRule="auto"/>
        <w:contextualSpacing w:val="0"/>
        <w:rPr>
          <w:rFonts w:ascii="Arial" w:hAnsi="Arial" w:cs="Arial"/>
        </w:rPr>
      </w:pPr>
      <w:r w:rsidRPr="00095CC9">
        <w:rPr>
          <w:rFonts w:ascii="Arial" w:hAnsi="Arial" w:cs="Arial"/>
        </w:rPr>
        <w:t xml:space="preserve">A route to competence - showing the path (or paths) to obtaining, and then maintaining, individual competence in the occupation(s). </w:t>
      </w:r>
    </w:p>
    <w:p w14:paraId="4D884748" w14:textId="77777777" w:rsidR="009505B3" w:rsidRPr="00095CC9" w:rsidRDefault="009505B3" w:rsidP="005C73DF">
      <w:pPr>
        <w:pStyle w:val="ListParagraph"/>
        <w:numPr>
          <w:ilvl w:val="0"/>
          <w:numId w:val="4"/>
        </w:numPr>
        <w:spacing w:after="0" w:line="240" w:lineRule="auto"/>
        <w:contextualSpacing w:val="0"/>
        <w:rPr>
          <w:rFonts w:ascii="Arial" w:hAnsi="Arial" w:cs="Arial"/>
        </w:rPr>
      </w:pPr>
      <w:r w:rsidRPr="00095CC9">
        <w:rPr>
          <w:rFonts w:ascii="Arial" w:hAnsi="Arial" w:cs="Arial"/>
        </w:rPr>
        <w:t>An implementation plan - identifying what further practical steps are required (as well as a timeframe) to allow every individual in scope to the competence framework to come into compliance with its requirements.</w:t>
      </w:r>
    </w:p>
    <w:p w14:paraId="6B653045" w14:textId="77777777" w:rsidR="009505B3" w:rsidRPr="00095CC9" w:rsidRDefault="009505B3" w:rsidP="00E72C6F">
      <w:pPr>
        <w:spacing w:after="0"/>
        <w:jc w:val="both"/>
        <w:rPr>
          <w:rFonts w:ascii="Arial" w:hAnsi="Arial" w:cs="Arial"/>
        </w:rPr>
      </w:pPr>
    </w:p>
    <w:p w14:paraId="301A1240" w14:textId="77777777" w:rsidR="00291737" w:rsidRPr="00095CC9" w:rsidRDefault="00291737">
      <w:pPr>
        <w:rPr>
          <w:rFonts w:ascii="Arial" w:hAnsi="Arial" w:cs="Arial"/>
          <w:b/>
          <w:bCs/>
        </w:rPr>
      </w:pPr>
      <w:r w:rsidRPr="00095CC9">
        <w:rPr>
          <w:rFonts w:ascii="Arial" w:hAnsi="Arial" w:cs="Arial"/>
        </w:rPr>
        <w:br w:type="page"/>
      </w:r>
    </w:p>
    <w:p w14:paraId="08BDB325" w14:textId="2680A3D6" w:rsidR="00291737" w:rsidRPr="00095CC9" w:rsidRDefault="002A3C15" w:rsidP="00291737">
      <w:pPr>
        <w:pStyle w:val="Heading1"/>
        <w:rPr>
          <w:rFonts w:ascii="Arial" w:hAnsi="Arial" w:cs="Arial"/>
          <w:sz w:val="22"/>
          <w:szCs w:val="22"/>
        </w:rPr>
      </w:pPr>
      <w:bookmarkStart w:id="6" w:name="_Toc187676485"/>
      <w:r w:rsidRPr="00095CC9">
        <w:rPr>
          <w:rFonts w:ascii="Arial" w:hAnsi="Arial" w:cs="Arial"/>
          <w:sz w:val="22"/>
          <w:szCs w:val="22"/>
        </w:rPr>
        <w:t xml:space="preserve">APPENDIX A </w:t>
      </w:r>
      <w:r w:rsidR="00291737" w:rsidRPr="00095CC9">
        <w:rPr>
          <w:rFonts w:ascii="Arial" w:hAnsi="Arial" w:cs="Arial"/>
          <w:sz w:val="22"/>
          <w:szCs w:val="22"/>
        </w:rPr>
        <w:t>–</w:t>
      </w:r>
      <w:r w:rsidRPr="00095CC9">
        <w:rPr>
          <w:rFonts w:ascii="Arial" w:hAnsi="Arial" w:cs="Arial"/>
          <w:sz w:val="22"/>
          <w:szCs w:val="22"/>
        </w:rPr>
        <w:t xml:space="preserve"> </w:t>
      </w:r>
      <w:r w:rsidR="00291737" w:rsidRPr="00095CC9">
        <w:rPr>
          <w:rFonts w:ascii="Arial" w:hAnsi="Arial" w:cs="Arial"/>
          <w:sz w:val="22"/>
          <w:szCs w:val="22"/>
        </w:rPr>
        <w:t>Questionnaire</w:t>
      </w:r>
      <w:bookmarkEnd w:id="6"/>
    </w:p>
    <w:p w14:paraId="783BEEF4" w14:textId="77777777" w:rsidR="00291737" w:rsidRPr="00095CC9" w:rsidRDefault="00291737">
      <w:pPr>
        <w:rPr>
          <w:rFonts w:ascii="Arial" w:hAnsi="Arial" w:cs="Arial"/>
          <w:b/>
          <w:bCs/>
        </w:rPr>
      </w:pPr>
      <w:r w:rsidRPr="00095CC9">
        <w:rPr>
          <w:rFonts w:ascii="Arial" w:hAnsi="Arial" w:cs="Arial"/>
        </w:rPr>
        <w:br w:type="page"/>
      </w:r>
    </w:p>
    <w:p w14:paraId="425ED791" w14:textId="2DB418E7" w:rsidR="00291737" w:rsidRPr="00095CC9" w:rsidRDefault="00291737" w:rsidP="00291737">
      <w:pPr>
        <w:pStyle w:val="Heading1"/>
        <w:rPr>
          <w:rFonts w:ascii="Arial" w:hAnsi="Arial" w:cs="Arial"/>
          <w:sz w:val="22"/>
          <w:szCs w:val="22"/>
        </w:rPr>
      </w:pPr>
      <w:bookmarkStart w:id="7" w:name="_Toc187676486"/>
      <w:r w:rsidRPr="00095CC9">
        <w:rPr>
          <w:rFonts w:ascii="Arial" w:hAnsi="Arial" w:cs="Arial"/>
          <w:sz w:val="22"/>
          <w:szCs w:val="22"/>
        </w:rPr>
        <w:t>APPENDIX B – Participating organisations</w:t>
      </w:r>
      <w:bookmarkEnd w:id="7"/>
    </w:p>
    <w:sectPr w:rsidR="00291737" w:rsidRPr="00095CC9" w:rsidSect="005C73DF">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25289" w14:textId="77777777" w:rsidR="00E91833" w:rsidRDefault="00E91833" w:rsidP="009807A2">
      <w:pPr>
        <w:spacing w:after="0" w:line="240" w:lineRule="auto"/>
      </w:pPr>
      <w:r>
        <w:separator/>
      </w:r>
    </w:p>
    <w:p w14:paraId="0A650B51" w14:textId="77777777" w:rsidR="00E91833" w:rsidRDefault="00E91833" w:rsidP="00BF76EC"/>
  </w:endnote>
  <w:endnote w:type="continuationSeparator" w:id="0">
    <w:p w14:paraId="1D4DAF7C" w14:textId="77777777" w:rsidR="00E91833" w:rsidRDefault="00E91833" w:rsidP="009807A2">
      <w:pPr>
        <w:spacing w:after="0" w:line="240" w:lineRule="auto"/>
      </w:pPr>
      <w:r>
        <w:continuationSeparator/>
      </w:r>
    </w:p>
    <w:p w14:paraId="4851EE41" w14:textId="77777777" w:rsidR="00E91833" w:rsidRDefault="00E91833" w:rsidP="00BF76EC"/>
  </w:endnote>
  <w:endnote w:type="continuationNotice" w:id="1">
    <w:p w14:paraId="24E93FC1" w14:textId="77777777" w:rsidR="00E91833" w:rsidRDefault="00E91833">
      <w:pPr>
        <w:spacing w:after="0" w:line="240" w:lineRule="auto"/>
      </w:pPr>
    </w:p>
    <w:p w14:paraId="233F87E9" w14:textId="77777777" w:rsidR="00E91833" w:rsidRDefault="00E91833" w:rsidP="00BF7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B534A" w14:textId="25A871EC" w:rsidR="002636CA" w:rsidRDefault="000E6DD0">
    <w:pPr>
      <w:pStyle w:val="Footer"/>
      <w:jc w:val="center"/>
    </w:pPr>
    <w:sdt>
      <w:sdtPr>
        <w:id w:val="-191383417"/>
        <w:docPartObj>
          <w:docPartGallery w:val="Page Numbers (Bottom of Page)"/>
          <w:docPartUnique/>
        </w:docPartObj>
      </w:sdtPr>
      <w:sdtEndPr>
        <w:rPr>
          <w:noProof/>
        </w:rPr>
      </w:sdtEndPr>
      <w:sdtContent>
        <w:r w:rsidR="002636CA">
          <w:fldChar w:fldCharType="begin"/>
        </w:r>
        <w:r w:rsidR="002636CA">
          <w:instrText xml:space="preserve"> PAGE   \* MERGEFORMAT </w:instrText>
        </w:r>
        <w:r w:rsidR="002636CA">
          <w:fldChar w:fldCharType="separate"/>
        </w:r>
        <w:r w:rsidR="002636CA">
          <w:rPr>
            <w:noProof/>
          </w:rPr>
          <w:t>2</w:t>
        </w:r>
        <w:r w:rsidR="002636CA">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7F209" w14:textId="77777777" w:rsidR="00E91833" w:rsidRDefault="00E91833" w:rsidP="009807A2">
      <w:pPr>
        <w:spacing w:after="0" w:line="240" w:lineRule="auto"/>
      </w:pPr>
      <w:r>
        <w:separator/>
      </w:r>
    </w:p>
    <w:p w14:paraId="621CE968" w14:textId="77777777" w:rsidR="00E91833" w:rsidRDefault="00E91833" w:rsidP="00BF76EC"/>
  </w:footnote>
  <w:footnote w:type="continuationSeparator" w:id="0">
    <w:p w14:paraId="6748AB4C" w14:textId="77777777" w:rsidR="00E91833" w:rsidRDefault="00E91833" w:rsidP="009807A2">
      <w:pPr>
        <w:spacing w:after="0" w:line="240" w:lineRule="auto"/>
      </w:pPr>
      <w:r>
        <w:continuationSeparator/>
      </w:r>
    </w:p>
    <w:p w14:paraId="69E0813C" w14:textId="77777777" w:rsidR="00E91833" w:rsidRDefault="00E91833" w:rsidP="00BF76EC"/>
  </w:footnote>
  <w:footnote w:type="continuationNotice" w:id="1">
    <w:p w14:paraId="5518227B" w14:textId="77777777" w:rsidR="00E91833" w:rsidRDefault="00E91833">
      <w:pPr>
        <w:spacing w:after="0" w:line="240" w:lineRule="auto"/>
      </w:pPr>
    </w:p>
    <w:p w14:paraId="19EFB568" w14:textId="77777777" w:rsidR="00E91833" w:rsidRDefault="00E91833" w:rsidP="00BF7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EE4DED"/>
    <w:multiLevelType w:val="hybridMultilevel"/>
    <w:tmpl w:val="03E496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0C307C6"/>
    <w:multiLevelType w:val="hybridMultilevel"/>
    <w:tmpl w:val="B9380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E52D28"/>
    <w:multiLevelType w:val="hybridMultilevel"/>
    <w:tmpl w:val="0FC41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3C2A29"/>
    <w:multiLevelType w:val="hybridMultilevel"/>
    <w:tmpl w:val="427E4E98"/>
    <w:lvl w:ilvl="0" w:tplc="D41CC002">
      <w:numFmt w:val="bullet"/>
      <w:lvlText w:val="•"/>
      <w:lvlJc w:val="left"/>
      <w:pPr>
        <w:ind w:left="1080" w:hanging="360"/>
      </w:pPr>
      <w:rPr>
        <w:rFonts w:ascii="Lucida Sans" w:eastAsiaTheme="minorHAnsi" w:hAnsi="Lucida Sans"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5CBC6AAF"/>
    <w:multiLevelType w:val="multilevel"/>
    <w:tmpl w:val="719E172A"/>
    <w:lvl w:ilvl="0">
      <w:start w:val="1"/>
      <w:numFmt w:val="decimal"/>
      <w:lvlText w:val="%1."/>
      <w:lvlJc w:val="left"/>
      <w:pPr>
        <w:ind w:left="360" w:hanging="360"/>
      </w:pPr>
    </w:lvl>
    <w:lvl w:ilvl="1">
      <w:start w:val="1"/>
      <w:numFmt w:val="decimal"/>
      <w:isLgl/>
      <w:lvlText w:val="%1.%2"/>
      <w:lvlJc w:val="left"/>
      <w:pPr>
        <w:ind w:left="644" w:hanging="360"/>
      </w:pPr>
      <w:rPr>
        <w:rFonts w:hint="default"/>
        <w:b/>
        <w:bCs/>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 w15:restartNumberingAfterBreak="0">
    <w:nsid w:val="65A06997"/>
    <w:multiLevelType w:val="hybridMultilevel"/>
    <w:tmpl w:val="03E496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3EE3AF4"/>
    <w:multiLevelType w:val="hybridMultilevel"/>
    <w:tmpl w:val="9F8E9C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6748786">
    <w:abstractNumId w:val="4"/>
  </w:num>
  <w:num w:numId="2" w16cid:durableId="1548953618">
    <w:abstractNumId w:val="3"/>
  </w:num>
  <w:num w:numId="3" w16cid:durableId="701514825">
    <w:abstractNumId w:val="5"/>
  </w:num>
  <w:num w:numId="4" w16cid:durableId="948586221">
    <w:abstractNumId w:val="0"/>
  </w:num>
  <w:num w:numId="5" w16cid:durableId="1286277998">
    <w:abstractNumId w:val="6"/>
  </w:num>
  <w:num w:numId="6" w16cid:durableId="824785176">
    <w:abstractNumId w:val="2"/>
  </w:num>
  <w:num w:numId="7" w16cid:durableId="388378524">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779"/>
    <w:rsid w:val="000040E6"/>
    <w:rsid w:val="00004D12"/>
    <w:rsid w:val="00005EE1"/>
    <w:rsid w:val="00006105"/>
    <w:rsid w:val="00011747"/>
    <w:rsid w:val="000124BB"/>
    <w:rsid w:val="000150C0"/>
    <w:rsid w:val="000176BF"/>
    <w:rsid w:val="00026B63"/>
    <w:rsid w:val="00027A8C"/>
    <w:rsid w:val="00030561"/>
    <w:rsid w:val="0003242E"/>
    <w:rsid w:val="00032959"/>
    <w:rsid w:val="00033085"/>
    <w:rsid w:val="00033A56"/>
    <w:rsid w:val="00034984"/>
    <w:rsid w:val="00041B99"/>
    <w:rsid w:val="000425CB"/>
    <w:rsid w:val="00042963"/>
    <w:rsid w:val="0004427A"/>
    <w:rsid w:val="000465C7"/>
    <w:rsid w:val="00047416"/>
    <w:rsid w:val="000525CB"/>
    <w:rsid w:val="000529F5"/>
    <w:rsid w:val="000565D5"/>
    <w:rsid w:val="000577F8"/>
    <w:rsid w:val="000646DD"/>
    <w:rsid w:val="000653E2"/>
    <w:rsid w:val="00067BAC"/>
    <w:rsid w:val="00067D10"/>
    <w:rsid w:val="00067EC9"/>
    <w:rsid w:val="000703BF"/>
    <w:rsid w:val="00074001"/>
    <w:rsid w:val="000748DD"/>
    <w:rsid w:val="00075FE0"/>
    <w:rsid w:val="00077D67"/>
    <w:rsid w:val="00080573"/>
    <w:rsid w:val="00094250"/>
    <w:rsid w:val="00095CC9"/>
    <w:rsid w:val="000A02C7"/>
    <w:rsid w:val="000A08A3"/>
    <w:rsid w:val="000A17CC"/>
    <w:rsid w:val="000A3527"/>
    <w:rsid w:val="000A3665"/>
    <w:rsid w:val="000A4644"/>
    <w:rsid w:val="000A5838"/>
    <w:rsid w:val="000B07FE"/>
    <w:rsid w:val="000B17AD"/>
    <w:rsid w:val="000B23D4"/>
    <w:rsid w:val="000B254C"/>
    <w:rsid w:val="000B3FE5"/>
    <w:rsid w:val="000B438F"/>
    <w:rsid w:val="000B6541"/>
    <w:rsid w:val="000C1792"/>
    <w:rsid w:val="000C5FBF"/>
    <w:rsid w:val="000D0C49"/>
    <w:rsid w:val="000D33B0"/>
    <w:rsid w:val="000D786E"/>
    <w:rsid w:val="000E19DE"/>
    <w:rsid w:val="000E2814"/>
    <w:rsid w:val="000E44F3"/>
    <w:rsid w:val="000E6DD0"/>
    <w:rsid w:val="000E7C99"/>
    <w:rsid w:val="000F0860"/>
    <w:rsid w:val="000F129F"/>
    <w:rsid w:val="000F16C2"/>
    <w:rsid w:val="000F4680"/>
    <w:rsid w:val="001005A2"/>
    <w:rsid w:val="00101112"/>
    <w:rsid w:val="00104AD8"/>
    <w:rsid w:val="00104FAE"/>
    <w:rsid w:val="00105D74"/>
    <w:rsid w:val="0010759F"/>
    <w:rsid w:val="00112059"/>
    <w:rsid w:val="001123F3"/>
    <w:rsid w:val="001156AE"/>
    <w:rsid w:val="00122F4D"/>
    <w:rsid w:val="00123F59"/>
    <w:rsid w:val="00124E0B"/>
    <w:rsid w:val="00125935"/>
    <w:rsid w:val="00125DBA"/>
    <w:rsid w:val="00126B92"/>
    <w:rsid w:val="00127FD5"/>
    <w:rsid w:val="00132011"/>
    <w:rsid w:val="0013251A"/>
    <w:rsid w:val="00133EFD"/>
    <w:rsid w:val="0013622B"/>
    <w:rsid w:val="00137325"/>
    <w:rsid w:val="001415FD"/>
    <w:rsid w:val="00143F9E"/>
    <w:rsid w:val="0014418C"/>
    <w:rsid w:val="00144A0A"/>
    <w:rsid w:val="0015304F"/>
    <w:rsid w:val="0015352E"/>
    <w:rsid w:val="00154402"/>
    <w:rsid w:val="001549FC"/>
    <w:rsid w:val="001567A5"/>
    <w:rsid w:val="00156863"/>
    <w:rsid w:val="00157AAE"/>
    <w:rsid w:val="00161656"/>
    <w:rsid w:val="00163680"/>
    <w:rsid w:val="0016398B"/>
    <w:rsid w:val="00164E62"/>
    <w:rsid w:val="001707B3"/>
    <w:rsid w:val="00172300"/>
    <w:rsid w:val="001742D0"/>
    <w:rsid w:val="001768B8"/>
    <w:rsid w:val="00176E95"/>
    <w:rsid w:val="00176FCF"/>
    <w:rsid w:val="0017792D"/>
    <w:rsid w:val="00182CBD"/>
    <w:rsid w:val="00186516"/>
    <w:rsid w:val="00187916"/>
    <w:rsid w:val="00187A22"/>
    <w:rsid w:val="00193C0C"/>
    <w:rsid w:val="00197BE4"/>
    <w:rsid w:val="001A31CF"/>
    <w:rsid w:val="001A3632"/>
    <w:rsid w:val="001A3E13"/>
    <w:rsid w:val="001A4A12"/>
    <w:rsid w:val="001A4B42"/>
    <w:rsid w:val="001A4DB9"/>
    <w:rsid w:val="001A612A"/>
    <w:rsid w:val="001A728D"/>
    <w:rsid w:val="001B16CB"/>
    <w:rsid w:val="001B2EB3"/>
    <w:rsid w:val="001B3FBE"/>
    <w:rsid w:val="001B4276"/>
    <w:rsid w:val="001B5A0E"/>
    <w:rsid w:val="001B754C"/>
    <w:rsid w:val="001C0300"/>
    <w:rsid w:val="001C204E"/>
    <w:rsid w:val="001C31BC"/>
    <w:rsid w:val="001C6A63"/>
    <w:rsid w:val="001C7A7D"/>
    <w:rsid w:val="001C7E8E"/>
    <w:rsid w:val="001D0058"/>
    <w:rsid w:val="001D12C9"/>
    <w:rsid w:val="001D3419"/>
    <w:rsid w:val="001D3DDA"/>
    <w:rsid w:val="001D4E26"/>
    <w:rsid w:val="001D6C9E"/>
    <w:rsid w:val="001D6E12"/>
    <w:rsid w:val="001E3173"/>
    <w:rsid w:val="001E38C4"/>
    <w:rsid w:val="001E49DE"/>
    <w:rsid w:val="001E6639"/>
    <w:rsid w:val="001F0C8C"/>
    <w:rsid w:val="001F14A5"/>
    <w:rsid w:val="001F511F"/>
    <w:rsid w:val="00201EEE"/>
    <w:rsid w:val="0020244D"/>
    <w:rsid w:val="00204A98"/>
    <w:rsid w:val="0020736F"/>
    <w:rsid w:val="002078EC"/>
    <w:rsid w:val="002101EE"/>
    <w:rsid w:val="00210F97"/>
    <w:rsid w:val="00211546"/>
    <w:rsid w:val="002168E9"/>
    <w:rsid w:val="00224355"/>
    <w:rsid w:val="002274A4"/>
    <w:rsid w:val="00230FE2"/>
    <w:rsid w:val="00232928"/>
    <w:rsid w:val="0023641D"/>
    <w:rsid w:val="002366DA"/>
    <w:rsid w:val="00237899"/>
    <w:rsid w:val="0024098B"/>
    <w:rsid w:val="00241621"/>
    <w:rsid w:val="00241727"/>
    <w:rsid w:val="00241C53"/>
    <w:rsid w:val="00243D8D"/>
    <w:rsid w:val="00257A0A"/>
    <w:rsid w:val="00261047"/>
    <w:rsid w:val="0026206D"/>
    <w:rsid w:val="002636CA"/>
    <w:rsid w:val="0027280F"/>
    <w:rsid w:val="00274AAE"/>
    <w:rsid w:val="00277984"/>
    <w:rsid w:val="00280AFC"/>
    <w:rsid w:val="002820E3"/>
    <w:rsid w:val="002872BE"/>
    <w:rsid w:val="00287E17"/>
    <w:rsid w:val="00290584"/>
    <w:rsid w:val="002908DF"/>
    <w:rsid w:val="00290D61"/>
    <w:rsid w:val="00291737"/>
    <w:rsid w:val="00292E02"/>
    <w:rsid w:val="0029390E"/>
    <w:rsid w:val="00294FC1"/>
    <w:rsid w:val="002958ED"/>
    <w:rsid w:val="00295A4D"/>
    <w:rsid w:val="0029785F"/>
    <w:rsid w:val="002A039D"/>
    <w:rsid w:val="002A0D81"/>
    <w:rsid w:val="002A3C15"/>
    <w:rsid w:val="002A65FC"/>
    <w:rsid w:val="002B01DD"/>
    <w:rsid w:val="002B176F"/>
    <w:rsid w:val="002B273B"/>
    <w:rsid w:val="002B2AD0"/>
    <w:rsid w:val="002B64CF"/>
    <w:rsid w:val="002B6CA5"/>
    <w:rsid w:val="002B6D3A"/>
    <w:rsid w:val="002B77E4"/>
    <w:rsid w:val="002C0ACD"/>
    <w:rsid w:val="002C109B"/>
    <w:rsid w:val="002C45F6"/>
    <w:rsid w:val="002C4B2E"/>
    <w:rsid w:val="002C4F57"/>
    <w:rsid w:val="002D246A"/>
    <w:rsid w:val="002D3244"/>
    <w:rsid w:val="002D6A99"/>
    <w:rsid w:val="002E1B5F"/>
    <w:rsid w:val="002E393A"/>
    <w:rsid w:val="002E3F4F"/>
    <w:rsid w:val="002E5C7C"/>
    <w:rsid w:val="002E7DE6"/>
    <w:rsid w:val="002F0CF8"/>
    <w:rsid w:val="002F0E3A"/>
    <w:rsid w:val="002F1B5D"/>
    <w:rsid w:val="002F243B"/>
    <w:rsid w:val="002F288A"/>
    <w:rsid w:val="002F3247"/>
    <w:rsid w:val="002F35B8"/>
    <w:rsid w:val="002F37ED"/>
    <w:rsid w:val="002F5552"/>
    <w:rsid w:val="002F670A"/>
    <w:rsid w:val="002F6866"/>
    <w:rsid w:val="00300502"/>
    <w:rsid w:val="003006B3"/>
    <w:rsid w:val="003018DF"/>
    <w:rsid w:val="0030311C"/>
    <w:rsid w:val="00306AC7"/>
    <w:rsid w:val="003079A1"/>
    <w:rsid w:val="0031500F"/>
    <w:rsid w:val="00315478"/>
    <w:rsid w:val="00317CF0"/>
    <w:rsid w:val="003212D7"/>
    <w:rsid w:val="0033277D"/>
    <w:rsid w:val="0033289F"/>
    <w:rsid w:val="00333952"/>
    <w:rsid w:val="003342E0"/>
    <w:rsid w:val="00335A44"/>
    <w:rsid w:val="00335E5C"/>
    <w:rsid w:val="00337EDF"/>
    <w:rsid w:val="0034054E"/>
    <w:rsid w:val="00342330"/>
    <w:rsid w:val="003442CF"/>
    <w:rsid w:val="00350E8E"/>
    <w:rsid w:val="00352F76"/>
    <w:rsid w:val="003626BF"/>
    <w:rsid w:val="00364362"/>
    <w:rsid w:val="00364699"/>
    <w:rsid w:val="00365983"/>
    <w:rsid w:val="003666D0"/>
    <w:rsid w:val="00372098"/>
    <w:rsid w:val="00373FC7"/>
    <w:rsid w:val="00374C16"/>
    <w:rsid w:val="00375A0B"/>
    <w:rsid w:val="003774FE"/>
    <w:rsid w:val="003803CC"/>
    <w:rsid w:val="003807DE"/>
    <w:rsid w:val="00380EDC"/>
    <w:rsid w:val="0038163E"/>
    <w:rsid w:val="00391587"/>
    <w:rsid w:val="00391FFA"/>
    <w:rsid w:val="00392877"/>
    <w:rsid w:val="00392E93"/>
    <w:rsid w:val="00393D15"/>
    <w:rsid w:val="0039489A"/>
    <w:rsid w:val="00395067"/>
    <w:rsid w:val="00395D86"/>
    <w:rsid w:val="00396B77"/>
    <w:rsid w:val="003A2BF1"/>
    <w:rsid w:val="003B3176"/>
    <w:rsid w:val="003B4DD6"/>
    <w:rsid w:val="003B5361"/>
    <w:rsid w:val="003B61A0"/>
    <w:rsid w:val="003B6D76"/>
    <w:rsid w:val="003B7B0E"/>
    <w:rsid w:val="003B7E8E"/>
    <w:rsid w:val="003C112D"/>
    <w:rsid w:val="003C1F73"/>
    <w:rsid w:val="003C2E52"/>
    <w:rsid w:val="003C4DB1"/>
    <w:rsid w:val="003C4FBF"/>
    <w:rsid w:val="003C6D0E"/>
    <w:rsid w:val="003C708D"/>
    <w:rsid w:val="003C72A1"/>
    <w:rsid w:val="003C7F27"/>
    <w:rsid w:val="003D049D"/>
    <w:rsid w:val="003D3344"/>
    <w:rsid w:val="003D4D9C"/>
    <w:rsid w:val="003D4FBD"/>
    <w:rsid w:val="003E06C1"/>
    <w:rsid w:val="003E418F"/>
    <w:rsid w:val="003E5B98"/>
    <w:rsid w:val="003F0861"/>
    <w:rsid w:val="003F1A31"/>
    <w:rsid w:val="003F3D43"/>
    <w:rsid w:val="003F4046"/>
    <w:rsid w:val="003F4DF7"/>
    <w:rsid w:val="003F573F"/>
    <w:rsid w:val="003F5F63"/>
    <w:rsid w:val="003F6984"/>
    <w:rsid w:val="003F6FF8"/>
    <w:rsid w:val="003F7659"/>
    <w:rsid w:val="0040007C"/>
    <w:rsid w:val="00401708"/>
    <w:rsid w:val="004017DB"/>
    <w:rsid w:val="004019CB"/>
    <w:rsid w:val="00404448"/>
    <w:rsid w:val="00404816"/>
    <w:rsid w:val="00405BC2"/>
    <w:rsid w:val="00406DC0"/>
    <w:rsid w:val="004200A2"/>
    <w:rsid w:val="00421EB1"/>
    <w:rsid w:val="00424813"/>
    <w:rsid w:val="00424D01"/>
    <w:rsid w:val="0042615E"/>
    <w:rsid w:val="0042650C"/>
    <w:rsid w:val="00430C15"/>
    <w:rsid w:val="004318B4"/>
    <w:rsid w:val="00432ECE"/>
    <w:rsid w:val="00435FBC"/>
    <w:rsid w:val="00436673"/>
    <w:rsid w:val="00436E4E"/>
    <w:rsid w:val="0044080D"/>
    <w:rsid w:val="00443B71"/>
    <w:rsid w:val="004448FD"/>
    <w:rsid w:val="00444A7B"/>
    <w:rsid w:val="00445708"/>
    <w:rsid w:val="004478F2"/>
    <w:rsid w:val="00453E7E"/>
    <w:rsid w:val="004541E7"/>
    <w:rsid w:val="00454590"/>
    <w:rsid w:val="00454A92"/>
    <w:rsid w:val="00455664"/>
    <w:rsid w:val="00455731"/>
    <w:rsid w:val="00457C39"/>
    <w:rsid w:val="00465C68"/>
    <w:rsid w:val="0047145B"/>
    <w:rsid w:val="004807D5"/>
    <w:rsid w:val="004832C9"/>
    <w:rsid w:val="004839B1"/>
    <w:rsid w:val="00486215"/>
    <w:rsid w:val="00490B9D"/>
    <w:rsid w:val="00492961"/>
    <w:rsid w:val="00492A6A"/>
    <w:rsid w:val="00494E7C"/>
    <w:rsid w:val="004958DC"/>
    <w:rsid w:val="0049604A"/>
    <w:rsid w:val="004A027E"/>
    <w:rsid w:val="004A05ED"/>
    <w:rsid w:val="004A2471"/>
    <w:rsid w:val="004A256C"/>
    <w:rsid w:val="004A2D6F"/>
    <w:rsid w:val="004A3B36"/>
    <w:rsid w:val="004A5983"/>
    <w:rsid w:val="004A63D9"/>
    <w:rsid w:val="004B203A"/>
    <w:rsid w:val="004B243E"/>
    <w:rsid w:val="004B7652"/>
    <w:rsid w:val="004C3ED0"/>
    <w:rsid w:val="004C69DC"/>
    <w:rsid w:val="004C6C11"/>
    <w:rsid w:val="004C7B3F"/>
    <w:rsid w:val="004D005F"/>
    <w:rsid w:val="004D0830"/>
    <w:rsid w:val="004D2953"/>
    <w:rsid w:val="004D2A4D"/>
    <w:rsid w:val="004D3C07"/>
    <w:rsid w:val="004D4AFC"/>
    <w:rsid w:val="004E19F1"/>
    <w:rsid w:val="004E494C"/>
    <w:rsid w:val="004E4EF7"/>
    <w:rsid w:val="004E6F99"/>
    <w:rsid w:val="004E741E"/>
    <w:rsid w:val="004F0AD6"/>
    <w:rsid w:val="004F0F84"/>
    <w:rsid w:val="004F1114"/>
    <w:rsid w:val="004F1F8D"/>
    <w:rsid w:val="004F38C3"/>
    <w:rsid w:val="004F470C"/>
    <w:rsid w:val="005008AD"/>
    <w:rsid w:val="00502134"/>
    <w:rsid w:val="0050390C"/>
    <w:rsid w:val="005054BB"/>
    <w:rsid w:val="00505B2B"/>
    <w:rsid w:val="00506F11"/>
    <w:rsid w:val="00513DBE"/>
    <w:rsid w:val="00514583"/>
    <w:rsid w:val="00514652"/>
    <w:rsid w:val="005177BE"/>
    <w:rsid w:val="00520566"/>
    <w:rsid w:val="0052130E"/>
    <w:rsid w:val="0053124E"/>
    <w:rsid w:val="00533EFC"/>
    <w:rsid w:val="0053552C"/>
    <w:rsid w:val="00537C09"/>
    <w:rsid w:val="00542B70"/>
    <w:rsid w:val="00545CD9"/>
    <w:rsid w:val="0054622F"/>
    <w:rsid w:val="005465B3"/>
    <w:rsid w:val="0054704E"/>
    <w:rsid w:val="00550D2F"/>
    <w:rsid w:val="00553681"/>
    <w:rsid w:val="00554632"/>
    <w:rsid w:val="005574E2"/>
    <w:rsid w:val="00560319"/>
    <w:rsid w:val="005627DC"/>
    <w:rsid w:val="0056356A"/>
    <w:rsid w:val="005648DD"/>
    <w:rsid w:val="00565938"/>
    <w:rsid w:val="00570E82"/>
    <w:rsid w:val="005719E9"/>
    <w:rsid w:val="00572E72"/>
    <w:rsid w:val="00573D6F"/>
    <w:rsid w:val="005808F1"/>
    <w:rsid w:val="00580A0C"/>
    <w:rsid w:val="00581587"/>
    <w:rsid w:val="005834C4"/>
    <w:rsid w:val="00583F1D"/>
    <w:rsid w:val="005844E4"/>
    <w:rsid w:val="00587486"/>
    <w:rsid w:val="00593958"/>
    <w:rsid w:val="005A2CFB"/>
    <w:rsid w:val="005A3868"/>
    <w:rsid w:val="005C512C"/>
    <w:rsid w:val="005C73DF"/>
    <w:rsid w:val="005C7CA0"/>
    <w:rsid w:val="005D1166"/>
    <w:rsid w:val="005D2F26"/>
    <w:rsid w:val="005D48EA"/>
    <w:rsid w:val="005E2A38"/>
    <w:rsid w:val="005E3E7F"/>
    <w:rsid w:val="005E5CEC"/>
    <w:rsid w:val="005E6384"/>
    <w:rsid w:val="005F0A7A"/>
    <w:rsid w:val="005F1C65"/>
    <w:rsid w:val="005F1ECA"/>
    <w:rsid w:val="005F49C7"/>
    <w:rsid w:val="005F534E"/>
    <w:rsid w:val="005F5E45"/>
    <w:rsid w:val="00600680"/>
    <w:rsid w:val="00605A06"/>
    <w:rsid w:val="00606749"/>
    <w:rsid w:val="006070EF"/>
    <w:rsid w:val="0060723F"/>
    <w:rsid w:val="006072A3"/>
    <w:rsid w:val="00611E49"/>
    <w:rsid w:val="00613A4C"/>
    <w:rsid w:val="00615A47"/>
    <w:rsid w:val="00615CDE"/>
    <w:rsid w:val="006179AB"/>
    <w:rsid w:val="00621674"/>
    <w:rsid w:val="00624EFC"/>
    <w:rsid w:val="00625CEC"/>
    <w:rsid w:val="00630831"/>
    <w:rsid w:val="00631AB1"/>
    <w:rsid w:val="00634F68"/>
    <w:rsid w:val="00637C6F"/>
    <w:rsid w:val="00641C34"/>
    <w:rsid w:val="0064390F"/>
    <w:rsid w:val="00652623"/>
    <w:rsid w:val="00652B17"/>
    <w:rsid w:val="00654637"/>
    <w:rsid w:val="00660A13"/>
    <w:rsid w:val="00661791"/>
    <w:rsid w:val="006618FB"/>
    <w:rsid w:val="006633BC"/>
    <w:rsid w:val="00663579"/>
    <w:rsid w:val="0066405D"/>
    <w:rsid w:val="006656F8"/>
    <w:rsid w:val="00665E06"/>
    <w:rsid w:val="006669A4"/>
    <w:rsid w:val="00666BB9"/>
    <w:rsid w:val="0066730C"/>
    <w:rsid w:val="00673898"/>
    <w:rsid w:val="00675652"/>
    <w:rsid w:val="00677F78"/>
    <w:rsid w:val="00680A14"/>
    <w:rsid w:val="00682A9A"/>
    <w:rsid w:val="00682B18"/>
    <w:rsid w:val="00683AFC"/>
    <w:rsid w:val="00684DFD"/>
    <w:rsid w:val="00685281"/>
    <w:rsid w:val="00686825"/>
    <w:rsid w:val="00687FBE"/>
    <w:rsid w:val="0069386B"/>
    <w:rsid w:val="006A0F4E"/>
    <w:rsid w:val="006A2B94"/>
    <w:rsid w:val="006A3EB6"/>
    <w:rsid w:val="006A4C7F"/>
    <w:rsid w:val="006A6893"/>
    <w:rsid w:val="006A7569"/>
    <w:rsid w:val="006B1DBE"/>
    <w:rsid w:val="006C16B7"/>
    <w:rsid w:val="006C3CFF"/>
    <w:rsid w:val="006C69A3"/>
    <w:rsid w:val="006D1E88"/>
    <w:rsid w:val="006D23F2"/>
    <w:rsid w:val="006D2923"/>
    <w:rsid w:val="006D2959"/>
    <w:rsid w:val="006D5A9A"/>
    <w:rsid w:val="006D7690"/>
    <w:rsid w:val="006E0E62"/>
    <w:rsid w:val="006E2736"/>
    <w:rsid w:val="006E329E"/>
    <w:rsid w:val="006E4F77"/>
    <w:rsid w:val="006E787A"/>
    <w:rsid w:val="006F1CC4"/>
    <w:rsid w:val="006F2288"/>
    <w:rsid w:val="006F2CE7"/>
    <w:rsid w:val="006F3402"/>
    <w:rsid w:val="006F428D"/>
    <w:rsid w:val="007040F5"/>
    <w:rsid w:val="00704BC0"/>
    <w:rsid w:val="00704C51"/>
    <w:rsid w:val="00705B0B"/>
    <w:rsid w:val="00711693"/>
    <w:rsid w:val="00714AE3"/>
    <w:rsid w:val="007152D9"/>
    <w:rsid w:val="00715B52"/>
    <w:rsid w:val="00715E54"/>
    <w:rsid w:val="007168C5"/>
    <w:rsid w:val="00720C0B"/>
    <w:rsid w:val="0072249F"/>
    <w:rsid w:val="00727253"/>
    <w:rsid w:val="007312C9"/>
    <w:rsid w:val="007330FC"/>
    <w:rsid w:val="007334C9"/>
    <w:rsid w:val="0073384B"/>
    <w:rsid w:val="00735CEE"/>
    <w:rsid w:val="00736000"/>
    <w:rsid w:val="007364F7"/>
    <w:rsid w:val="00737AB4"/>
    <w:rsid w:val="0074229D"/>
    <w:rsid w:val="00742F98"/>
    <w:rsid w:val="007431E3"/>
    <w:rsid w:val="00743300"/>
    <w:rsid w:val="0074509F"/>
    <w:rsid w:val="0074713D"/>
    <w:rsid w:val="007508CB"/>
    <w:rsid w:val="0075099C"/>
    <w:rsid w:val="00750DB2"/>
    <w:rsid w:val="007532A5"/>
    <w:rsid w:val="007532AB"/>
    <w:rsid w:val="007537FC"/>
    <w:rsid w:val="00753F70"/>
    <w:rsid w:val="00756299"/>
    <w:rsid w:val="00757BE8"/>
    <w:rsid w:val="0076002E"/>
    <w:rsid w:val="00761579"/>
    <w:rsid w:val="007618A2"/>
    <w:rsid w:val="00764103"/>
    <w:rsid w:val="007645C0"/>
    <w:rsid w:val="007648BE"/>
    <w:rsid w:val="007655CA"/>
    <w:rsid w:val="0076645A"/>
    <w:rsid w:val="00770042"/>
    <w:rsid w:val="00774194"/>
    <w:rsid w:val="007757A7"/>
    <w:rsid w:val="007804D9"/>
    <w:rsid w:val="0078103B"/>
    <w:rsid w:val="00782535"/>
    <w:rsid w:val="00786EE8"/>
    <w:rsid w:val="007873A2"/>
    <w:rsid w:val="00791DD0"/>
    <w:rsid w:val="00792A2A"/>
    <w:rsid w:val="007941E4"/>
    <w:rsid w:val="00795D15"/>
    <w:rsid w:val="007A0344"/>
    <w:rsid w:val="007A0557"/>
    <w:rsid w:val="007A1489"/>
    <w:rsid w:val="007A3488"/>
    <w:rsid w:val="007A4951"/>
    <w:rsid w:val="007A529F"/>
    <w:rsid w:val="007A68C3"/>
    <w:rsid w:val="007A7BA6"/>
    <w:rsid w:val="007B024B"/>
    <w:rsid w:val="007B4819"/>
    <w:rsid w:val="007C0FE4"/>
    <w:rsid w:val="007C2630"/>
    <w:rsid w:val="007C2A03"/>
    <w:rsid w:val="007C2E2E"/>
    <w:rsid w:val="007C2F19"/>
    <w:rsid w:val="007C3B84"/>
    <w:rsid w:val="007C627B"/>
    <w:rsid w:val="007C62F9"/>
    <w:rsid w:val="007D0E7D"/>
    <w:rsid w:val="007D24AA"/>
    <w:rsid w:val="007D28A5"/>
    <w:rsid w:val="007D536F"/>
    <w:rsid w:val="007D75AF"/>
    <w:rsid w:val="007E08E1"/>
    <w:rsid w:val="007E2119"/>
    <w:rsid w:val="007E224B"/>
    <w:rsid w:val="007E292A"/>
    <w:rsid w:val="007E43D2"/>
    <w:rsid w:val="007E6DE0"/>
    <w:rsid w:val="007F3852"/>
    <w:rsid w:val="007F3EBC"/>
    <w:rsid w:val="00801398"/>
    <w:rsid w:val="00801EC6"/>
    <w:rsid w:val="00801FAE"/>
    <w:rsid w:val="0080470E"/>
    <w:rsid w:val="00805F8C"/>
    <w:rsid w:val="00807E54"/>
    <w:rsid w:val="008117EA"/>
    <w:rsid w:val="008135DB"/>
    <w:rsid w:val="00814392"/>
    <w:rsid w:val="00814E5C"/>
    <w:rsid w:val="00815707"/>
    <w:rsid w:val="00815E0F"/>
    <w:rsid w:val="008207EC"/>
    <w:rsid w:val="00821A3E"/>
    <w:rsid w:val="00827002"/>
    <w:rsid w:val="008343B0"/>
    <w:rsid w:val="00834E6E"/>
    <w:rsid w:val="00840ACF"/>
    <w:rsid w:val="00841350"/>
    <w:rsid w:val="0084188B"/>
    <w:rsid w:val="008420F9"/>
    <w:rsid w:val="0084240D"/>
    <w:rsid w:val="00845DAC"/>
    <w:rsid w:val="00851810"/>
    <w:rsid w:val="0085414B"/>
    <w:rsid w:val="00854663"/>
    <w:rsid w:val="008550C6"/>
    <w:rsid w:val="00856519"/>
    <w:rsid w:val="00857180"/>
    <w:rsid w:val="0086076D"/>
    <w:rsid w:val="00863BC3"/>
    <w:rsid w:val="00864321"/>
    <w:rsid w:val="00872390"/>
    <w:rsid w:val="0087468F"/>
    <w:rsid w:val="00874E03"/>
    <w:rsid w:val="00876196"/>
    <w:rsid w:val="008806C9"/>
    <w:rsid w:val="00882603"/>
    <w:rsid w:val="00883BBF"/>
    <w:rsid w:val="00886882"/>
    <w:rsid w:val="00890B9A"/>
    <w:rsid w:val="008920D7"/>
    <w:rsid w:val="008A08B2"/>
    <w:rsid w:val="008A13F8"/>
    <w:rsid w:val="008A174E"/>
    <w:rsid w:val="008A2990"/>
    <w:rsid w:val="008A2C75"/>
    <w:rsid w:val="008A6064"/>
    <w:rsid w:val="008A6552"/>
    <w:rsid w:val="008A6628"/>
    <w:rsid w:val="008A6A10"/>
    <w:rsid w:val="008A753D"/>
    <w:rsid w:val="008A75E5"/>
    <w:rsid w:val="008B0256"/>
    <w:rsid w:val="008B0479"/>
    <w:rsid w:val="008B095F"/>
    <w:rsid w:val="008B1C4A"/>
    <w:rsid w:val="008B1DC0"/>
    <w:rsid w:val="008B2E20"/>
    <w:rsid w:val="008B4205"/>
    <w:rsid w:val="008B522F"/>
    <w:rsid w:val="008B6A4E"/>
    <w:rsid w:val="008C25BA"/>
    <w:rsid w:val="008C30B4"/>
    <w:rsid w:val="008C51E6"/>
    <w:rsid w:val="008C6EC3"/>
    <w:rsid w:val="008C7501"/>
    <w:rsid w:val="008C75FC"/>
    <w:rsid w:val="008C7D2F"/>
    <w:rsid w:val="008D05B6"/>
    <w:rsid w:val="008D0FB7"/>
    <w:rsid w:val="008D4AB5"/>
    <w:rsid w:val="008D5D33"/>
    <w:rsid w:val="008E6F6F"/>
    <w:rsid w:val="008F2075"/>
    <w:rsid w:val="009032FF"/>
    <w:rsid w:val="00904098"/>
    <w:rsid w:val="009054EB"/>
    <w:rsid w:val="00905A2C"/>
    <w:rsid w:val="00907F35"/>
    <w:rsid w:val="00912771"/>
    <w:rsid w:val="00912E4C"/>
    <w:rsid w:val="00913584"/>
    <w:rsid w:val="00913599"/>
    <w:rsid w:val="00917EB2"/>
    <w:rsid w:val="00923B80"/>
    <w:rsid w:val="009249D3"/>
    <w:rsid w:val="0092797D"/>
    <w:rsid w:val="00931D23"/>
    <w:rsid w:val="00932544"/>
    <w:rsid w:val="009328E8"/>
    <w:rsid w:val="00933C32"/>
    <w:rsid w:val="009368B9"/>
    <w:rsid w:val="00940C3F"/>
    <w:rsid w:val="00941E3F"/>
    <w:rsid w:val="009435B2"/>
    <w:rsid w:val="00944CF7"/>
    <w:rsid w:val="00946DD5"/>
    <w:rsid w:val="009505B3"/>
    <w:rsid w:val="00951F0A"/>
    <w:rsid w:val="00952B1B"/>
    <w:rsid w:val="00955587"/>
    <w:rsid w:val="009564FA"/>
    <w:rsid w:val="00956DB6"/>
    <w:rsid w:val="009600EB"/>
    <w:rsid w:val="00962EE6"/>
    <w:rsid w:val="00970130"/>
    <w:rsid w:val="00971354"/>
    <w:rsid w:val="00972633"/>
    <w:rsid w:val="00972C65"/>
    <w:rsid w:val="00973339"/>
    <w:rsid w:val="009733E6"/>
    <w:rsid w:val="00977EDB"/>
    <w:rsid w:val="009807A2"/>
    <w:rsid w:val="0098276B"/>
    <w:rsid w:val="009828AA"/>
    <w:rsid w:val="009846F5"/>
    <w:rsid w:val="00984A88"/>
    <w:rsid w:val="00986FC2"/>
    <w:rsid w:val="009902B0"/>
    <w:rsid w:val="00990689"/>
    <w:rsid w:val="009A3176"/>
    <w:rsid w:val="009A55B8"/>
    <w:rsid w:val="009A5B4D"/>
    <w:rsid w:val="009A5D34"/>
    <w:rsid w:val="009A6201"/>
    <w:rsid w:val="009A7B34"/>
    <w:rsid w:val="009B1E4B"/>
    <w:rsid w:val="009B1EAC"/>
    <w:rsid w:val="009B2F2E"/>
    <w:rsid w:val="009B300E"/>
    <w:rsid w:val="009B444D"/>
    <w:rsid w:val="009B6EF2"/>
    <w:rsid w:val="009C1D64"/>
    <w:rsid w:val="009C1DDF"/>
    <w:rsid w:val="009C2A4C"/>
    <w:rsid w:val="009C6544"/>
    <w:rsid w:val="009D146A"/>
    <w:rsid w:val="009D481D"/>
    <w:rsid w:val="009D7EC9"/>
    <w:rsid w:val="009E3569"/>
    <w:rsid w:val="009E47BC"/>
    <w:rsid w:val="009E547F"/>
    <w:rsid w:val="009F42B1"/>
    <w:rsid w:val="009F5907"/>
    <w:rsid w:val="00A02858"/>
    <w:rsid w:val="00A03B81"/>
    <w:rsid w:val="00A04105"/>
    <w:rsid w:val="00A04BA3"/>
    <w:rsid w:val="00A11C2C"/>
    <w:rsid w:val="00A14C82"/>
    <w:rsid w:val="00A14E46"/>
    <w:rsid w:val="00A15341"/>
    <w:rsid w:val="00A155F4"/>
    <w:rsid w:val="00A16BD5"/>
    <w:rsid w:val="00A21853"/>
    <w:rsid w:val="00A23DDA"/>
    <w:rsid w:val="00A24D30"/>
    <w:rsid w:val="00A27B64"/>
    <w:rsid w:val="00A27F95"/>
    <w:rsid w:val="00A306FA"/>
    <w:rsid w:val="00A33365"/>
    <w:rsid w:val="00A35234"/>
    <w:rsid w:val="00A3608A"/>
    <w:rsid w:val="00A37C4D"/>
    <w:rsid w:val="00A42E6B"/>
    <w:rsid w:val="00A46166"/>
    <w:rsid w:val="00A46600"/>
    <w:rsid w:val="00A50387"/>
    <w:rsid w:val="00A5170A"/>
    <w:rsid w:val="00A52910"/>
    <w:rsid w:val="00A60696"/>
    <w:rsid w:val="00A64C61"/>
    <w:rsid w:val="00A64C9D"/>
    <w:rsid w:val="00A654DC"/>
    <w:rsid w:val="00A67BC5"/>
    <w:rsid w:val="00A67D73"/>
    <w:rsid w:val="00A70DB3"/>
    <w:rsid w:val="00A73432"/>
    <w:rsid w:val="00A74588"/>
    <w:rsid w:val="00A75692"/>
    <w:rsid w:val="00A75A6D"/>
    <w:rsid w:val="00A83536"/>
    <w:rsid w:val="00A8797A"/>
    <w:rsid w:val="00A9213B"/>
    <w:rsid w:val="00A943FB"/>
    <w:rsid w:val="00A94D2E"/>
    <w:rsid w:val="00AA0FC2"/>
    <w:rsid w:val="00AA174F"/>
    <w:rsid w:val="00AA2C9F"/>
    <w:rsid w:val="00AA3BF1"/>
    <w:rsid w:val="00AA56DF"/>
    <w:rsid w:val="00AA699D"/>
    <w:rsid w:val="00AB1A9E"/>
    <w:rsid w:val="00AB2E07"/>
    <w:rsid w:val="00AB430F"/>
    <w:rsid w:val="00AB614D"/>
    <w:rsid w:val="00AB7785"/>
    <w:rsid w:val="00AC1074"/>
    <w:rsid w:val="00AC1BA7"/>
    <w:rsid w:val="00AC1CF2"/>
    <w:rsid w:val="00AC3B0A"/>
    <w:rsid w:val="00AC4542"/>
    <w:rsid w:val="00AC6870"/>
    <w:rsid w:val="00AD1320"/>
    <w:rsid w:val="00AD1E24"/>
    <w:rsid w:val="00AD7EA7"/>
    <w:rsid w:val="00AE0B40"/>
    <w:rsid w:val="00AE1ECB"/>
    <w:rsid w:val="00AE498D"/>
    <w:rsid w:val="00AE5EF7"/>
    <w:rsid w:val="00AF53C3"/>
    <w:rsid w:val="00AF7AA9"/>
    <w:rsid w:val="00B01FE4"/>
    <w:rsid w:val="00B077F8"/>
    <w:rsid w:val="00B1301D"/>
    <w:rsid w:val="00B157AE"/>
    <w:rsid w:val="00B15C68"/>
    <w:rsid w:val="00B175DC"/>
    <w:rsid w:val="00B17A0C"/>
    <w:rsid w:val="00B2123E"/>
    <w:rsid w:val="00B21F65"/>
    <w:rsid w:val="00B227FA"/>
    <w:rsid w:val="00B2484D"/>
    <w:rsid w:val="00B24D7E"/>
    <w:rsid w:val="00B2615E"/>
    <w:rsid w:val="00B278D1"/>
    <w:rsid w:val="00B30FF0"/>
    <w:rsid w:val="00B31E1A"/>
    <w:rsid w:val="00B375A4"/>
    <w:rsid w:val="00B4309D"/>
    <w:rsid w:val="00B43A2C"/>
    <w:rsid w:val="00B50260"/>
    <w:rsid w:val="00B545EA"/>
    <w:rsid w:val="00B57420"/>
    <w:rsid w:val="00B60154"/>
    <w:rsid w:val="00B61329"/>
    <w:rsid w:val="00B647C3"/>
    <w:rsid w:val="00B6540F"/>
    <w:rsid w:val="00B67CE9"/>
    <w:rsid w:val="00B70C54"/>
    <w:rsid w:val="00B71EDF"/>
    <w:rsid w:val="00B76894"/>
    <w:rsid w:val="00B81D23"/>
    <w:rsid w:val="00B8486D"/>
    <w:rsid w:val="00B8663C"/>
    <w:rsid w:val="00B903A3"/>
    <w:rsid w:val="00B9172C"/>
    <w:rsid w:val="00B93656"/>
    <w:rsid w:val="00B93F73"/>
    <w:rsid w:val="00B94D98"/>
    <w:rsid w:val="00B96650"/>
    <w:rsid w:val="00B9681E"/>
    <w:rsid w:val="00B971C6"/>
    <w:rsid w:val="00BB0446"/>
    <w:rsid w:val="00BB17B2"/>
    <w:rsid w:val="00BB2622"/>
    <w:rsid w:val="00BB2779"/>
    <w:rsid w:val="00BB302A"/>
    <w:rsid w:val="00BB488E"/>
    <w:rsid w:val="00BB781C"/>
    <w:rsid w:val="00BC12EC"/>
    <w:rsid w:val="00BC12EF"/>
    <w:rsid w:val="00BC1872"/>
    <w:rsid w:val="00BC2F26"/>
    <w:rsid w:val="00BC35C1"/>
    <w:rsid w:val="00BC44F5"/>
    <w:rsid w:val="00BC4BB3"/>
    <w:rsid w:val="00BD1FB7"/>
    <w:rsid w:val="00BD206D"/>
    <w:rsid w:val="00BD2F4C"/>
    <w:rsid w:val="00BE0ACD"/>
    <w:rsid w:val="00BE13AB"/>
    <w:rsid w:val="00BE15AD"/>
    <w:rsid w:val="00BE5A60"/>
    <w:rsid w:val="00BE7C22"/>
    <w:rsid w:val="00BF0023"/>
    <w:rsid w:val="00BF0402"/>
    <w:rsid w:val="00BF2A2E"/>
    <w:rsid w:val="00BF2B13"/>
    <w:rsid w:val="00BF2E00"/>
    <w:rsid w:val="00BF3991"/>
    <w:rsid w:val="00BF3BD6"/>
    <w:rsid w:val="00BF3E6C"/>
    <w:rsid w:val="00BF40D5"/>
    <w:rsid w:val="00BF4315"/>
    <w:rsid w:val="00BF51F1"/>
    <w:rsid w:val="00BF76EC"/>
    <w:rsid w:val="00C03606"/>
    <w:rsid w:val="00C05629"/>
    <w:rsid w:val="00C0642F"/>
    <w:rsid w:val="00C10604"/>
    <w:rsid w:val="00C128AF"/>
    <w:rsid w:val="00C15082"/>
    <w:rsid w:val="00C1601A"/>
    <w:rsid w:val="00C17C0D"/>
    <w:rsid w:val="00C2497F"/>
    <w:rsid w:val="00C2579D"/>
    <w:rsid w:val="00C30E15"/>
    <w:rsid w:val="00C33883"/>
    <w:rsid w:val="00C34EEB"/>
    <w:rsid w:val="00C42F4E"/>
    <w:rsid w:val="00C4619C"/>
    <w:rsid w:val="00C47551"/>
    <w:rsid w:val="00C475B1"/>
    <w:rsid w:val="00C5137A"/>
    <w:rsid w:val="00C54761"/>
    <w:rsid w:val="00C54B70"/>
    <w:rsid w:val="00C55271"/>
    <w:rsid w:val="00C62500"/>
    <w:rsid w:val="00C62848"/>
    <w:rsid w:val="00C727D3"/>
    <w:rsid w:val="00C72809"/>
    <w:rsid w:val="00C73709"/>
    <w:rsid w:val="00C74AAD"/>
    <w:rsid w:val="00C83444"/>
    <w:rsid w:val="00C85DB4"/>
    <w:rsid w:val="00C91C4E"/>
    <w:rsid w:val="00C93B47"/>
    <w:rsid w:val="00C93D03"/>
    <w:rsid w:val="00CA06B0"/>
    <w:rsid w:val="00CA23CF"/>
    <w:rsid w:val="00CA3BD7"/>
    <w:rsid w:val="00CA4022"/>
    <w:rsid w:val="00CA443B"/>
    <w:rsid w:val="00CA512C"/>
    <w:rsid w:val="00CA6194"/>
    <w:rsid w:val="00CB135F"/>
    <w:rsid w:val="00CB6FCE"/>
    <w:rsid w:val="00CB764F"/>
    <w:rsid w:val="00CC30F4"/>
    <w:rsid w:val="00CC4548"/>
    <w:rsid w:val="00CC45DD"/>
    <w:rsid w:val="00CC4A7E"/>
    <w:rsid w:val="00CC62AC"/>
    <w:rsid w:val="00CD696A"/>
    <w:rsid w:val="00CE4006"/>
    <w:rsid w:val="00CE5901"/>
    <w:rsid w:val="00CE59C0"/>
    <w:rsid w:val="00CE5D44"/>
    <w:rsid w:val="00CE6706"/>
    <w:rsid w:val="00CE7702"/>
    <w:rsid w:val="00CF00F0"/>
    <w:rsid w:val="00CF0B9E"/>
    <w:rsid w:val="00CF17A6"/>
    <w:rsid w:val="00CF188E"/>
    <w:rsid w:val="00CF2FB7"/>
    <w:rsid w:val="00CF4063"/>
    <w:rsid w:val="00D01484"/>
    <w:rsid w:val="00D01E53"/>
    <w:rsid w:val="00D0211A"/>
    <w:rsid w:val="00D032C3"/>
    <w:rsid w:val="00D038A4"/>
    <w:rsid w:val="00D0615F"/>
    <w:rsid w:val="00D06D04"/>
    <w:rsid w:val="00D10A49"/>
    <w:rsid w:val="00D11400"/>
    <w:rsid w:val="00D1171C"/>
    <w:rsid w:val="00D159EC"/>
    <w:rsid w:val="00D1658C"/>
    <w:rsid w:val="00D200BD"/>
    <w:rsid w:val="00D20BF8"/>
    <w:rsid w:val="00D244D6"/>
    <w:rsid w:val="00D25279"/>
    <w:rsid w:val="00D2713C"/>
    <w:rsid w:val="00D30A73"/>
    <w:rsid w:val="00D32F5A"/>
    <w:rsid w:val="00D332D0"/>
    <w:rsid w:val="00D34080"/>
    <w:rsid w:val="00D36646"/>
    <w:rsid w:val="00D42719"/>
    <w:rsid w:val="00D45E17"/>
    <w:rsid w:val="00D461E9"/>
    <w:rsid w:val="00D50C8A"/>
    <w:rsid w:val="00D50D27"/>
    <w:rsid w:val="00D50E66"/>
    <w:rsid w:val="00D54B2A"/>
    <w:rsid w:val="00D54F2A"/>
    <w:rsid w:val="00D60F1F"/>
    <w:rsid w:val="00D61265"/>
    <w:rsid w:val="00D61911"/>
    <w:rsid w:val="00D6351B"/>
    <w:rsid w:val="00D64C23"/>
    <w:rsid w:val="00D6549D"/>
    <w:rsid w:val="00D66856"/>
    <w:rsid w:val="00D728FF"/>
    <w:rsid w:val="00D75063"/>
    <w:rsid w:val="00D75348"/>
    <w:rsid w:val="00D756E5"/>
    <w:rsid w:val="00D77DB9"/>
    <w:rsid w:val="00D80223"/>
    <w:rsid w:val="00D860D9"/>
    <w:rsid w:val="00D8714C"/>
    <w:rsid w:val="00D90D38"/>
    <w:rsid w:val="00D9183F"/>
    <w:rsid w:val="00D97CBA"/>
    <w:rsid w:val="00DA0278"/>
    <w:rsid w:val="00DA07BF"/>
    <w:rsid w:val="00DA209A"/>
    <w:rsid w:val="00DA625A"/>
    <w:rsid w:val="00DA62F7"/>
    <w:rsid w:val="00DA7938"/>
    <w:rsid w:val="00DB71DE"/>
    <w:rsid w:val="00DC5432"/>
    <w:rsid w:val="00DC6827"/>
    <w:rsid w:val="00DC68DA"/>
    <w:rsid w:val="00DC6D7B"/>
    <w:rsid w:val="00DC77D5"/>
    <w:rsid w:val="00DD271D"/>
    <w:rsid w:val="00DD49AF"/>
    <w:rsid w:val="00DD5CB6"/>
    <w:rsid w:val="00DD6BCF"/>
    <w:rsid w:val="00DD723F"/>
    <w:rsid w:val="00DD748F"/>
    <w:rsid w:val="00DD79A1"/>
    <w:rsid w:val="00DD7A54"/>
    <w:rsid w:val="00DE0C68"/>
    <w:rsid w:val="00DE3756"/>
    <w:rsid w:val="00DE5468"/>
    <w:rsid w:val="00DE6817"/>
    <w:rsid w:val="00DF03F7"/>
    <w:rsid w:val="00DF0D98"/>
    <w:rsid w:val="00DF4F52"/>
    <w:rsid w:val="00DF77F3"/>
    <w:rsid w:val="00E01099"/>
    <w:rsid w:val="00E03599"/>
    <w:rsid w:val="00E06EDC"/>
    <w:rsid w:val="00E07546"/>
    <w:rsid w:val="00E10249"/>
    <w:rsid w:val="00E10945"/>
    <w:rsid w:val="00E12DF1"/>
    <w:rsid w:val="00E1331F"/>
    <w:rsid w:val="00E16855"/>
    <w:rsid w:val="00E2014B"/>
    <w:rsid w:val="00E21D66"/>
    <w:rsid w:val="00E227C7"/>
    <w:rsid w:val="00E2337C"/>
    <w:rsid w:val="00E24394"/>
    <w:rsid w:val="00E256A5"/>
    <w:rsid w:val="00E26FAC"/>
    <w:rsid w:val="00E2703F"/>
    <w:rsid w:val="00E27BEF"/>
    <w:rsid w:val="00E31AB5"/>
    <w:rsid w:val="00E34634"/>
    <w:rsid w:val="00E37186"/>
    <w:rsid w:val="00E40A20"/>
    <w:rsid w:val="00E40DE8"/>
    <w:rsid w:val="00E43A23"/>
    <w:rsid w:val="00E457BC"/>
    <w:rsid w:val="00E5461E"/>
    <w:rsid w:val="00E56F2E"/>
    <w:rsid w:val="00E577F8"/>
    <w:rsid w:val="00E607AB"/>
    <w:rsid w:val="00E6249E"/>
    <w:rsid w:val="00E62A55"/>
    <w:rsid w:val="00E64789"/>
    <w:rsid w:val="00E67517"/>
    <w:rsid w:val="00E70203"/>
    <w:rsid w:val="00E708FB"/>
    <w:rsid w:val="00E70CB8"/>
    <w:rsid w:val="00E72C6F"/>
    <w:rsid w:val="00E73714"/>
    <w:rsid w:val="00E745C5"/>
    <w:rsid w:val="00E80EB2"/>
    <w:rsid w:val="00E838C2"/>
    <w:rsid w:val="00E84B6D"/>
    <w:rsid w:val="00E84D87"/>
    <w:rsid w:val="00E873B8"/>
    <w:rsid w:val="00E8778F"/>
    <w:rsid w:val="00E87B13"/>
    <w:rsid w:val="00E90DDE"/>
    <w:rsid w:val="00E91110"/>
    <w:rsid w:val="00E91833"/>
    <w:rsid w:val="00E934C1"/>
    <w:rsid w:val="00E958DA"/>
    <w:rsid w:val="00E95A45"/>
    <w:rsid w:val="00E96602"/>
    <w:rsid w:val="00E966CC"/>
    <w:rsid w:val="00EA1266"/>
    <w:rsid w:val="00EA18D4"/>
    <w:rsid w:val="00EA4E49"/>
    <w:rsid w:val="00EA4E69"/>
    <w:rsid w:val="00EA6B63"/>
    <w:rsid w:val="00EA7C02"/>
    <w:rsid w:val="00EB469C"/>
    <w:rsid w:val="00EB724A"/>
    <w:rsid w:val="00EB776F"/>
    <w:rsid w:val="00EC0DB2"/>
    <w:rsid w:val="00EC3AD7"/>
    <w:rsid w:val="00EC7D60"/>
    <w:rsid w:val="00ED1789"/>
    <w:rsid w:val="00ED24D3"/>
    <w:rsid w:val="00ED287D"/>
    <w:rsid w:val="00ED2D66"/>
    <w:rsid w:val="00ED2F82"/>
    <w:rsid w:val="00ED7AE1"/>
    <w:rsid w:val="00EE0F83"/>
    <w:rsid w:val="00EE15B4"/>
    <w:rsid w:val="00EE3C0D"/>
    <w:rsid w:val="00EE50B5"/>
    <w:rsid w:val="00EF0852"/>
    <w:rsid w:val="00F01C02"/>
    <w:rsid w:val="00F02A2A"/>
    <w:rsid w:val="00F03EDD"/>
    <w:rsid w:val="00F062C2"/>
    <w:rsid w:val="00F100E6"/>
    <w:rsid w:val="00F10312"/>
    <w:rsid w:val="00F10567"/>
    <w:rsid w:val="00F14658"/>
    <w:rsid w:val="00F2048A"/>
    <w:rsid w:val="00F20B4F"/>
    <w:rsid w:val="00F2188F"/>
    <w:rsid w:val="00F24C67"/>
    <w:rsid w:val="00F252ED"/>
    <w:rsid w:val="00F26550"/>
    <w:rsid w:val="00F30894"/>
    <w:rsid w:val="00F32E5A"/>
    <w:rsid w:val="00F3569C"/>
    <w:rsid w:val="00F35879"/>
    <w:rsid w:val="00F37D50"/>
    <w:rsid w:val="00F4339B"/>
    <w:rsid w:val="00F4439D"/>
    <w:rsid w:val="00F44680"/>
    <w:rsid w:val="00F46443"/>
    <w:rsid w:val="00F5086E"/>
    <w:rsid w:val="00F51A92"/>
    <w:rsid w:val="00F52097"/>
    <w:rsid w:val="00F53C98"/>
    <w:rsid w:val="00F57BEB"/>
    <w:rsid w:val="00F61B7C"/>
    <w:rsid w:val="00F62163"/>
    <w:rsid w:val="00F624C2"/>
    <w:rsid w:val="00F63E12"/>
    <w:rsid w:val="00F642E0"/>
    <w:rsid w:val="00F64CD3"/>
    <w:rsid w:val="00F65487"/>
    <w:rsid w:val="00F657E4"/>
    <w:rsid w:val="00F708CB"/>
    <w:rsid w:val="00F73105"/>
    <w:rsid w:val="00F74762"/>
    <w:rsid w:val="00F75956"/>
    <w:rsid w:val="00F7730A"/>
    <w:rsid w:val="00F77A22"/>
    <w:rsid w:val="00F805E7"/>
    <w:rsid w:val="00F80728"/>
    <w:rsid w:val="00F85EBB"/>
    <w:rsid w:val="00F8606B"/>
    <w:rsid w:val="00F86B2C"/>
    <w:rsid w:val="00F93792"/>
    <w:rsid w:val="00F93A67"/>
    <w:rsid w:val="00F94129"/>
    <w:rsid w:val="00F95385"/>
    <w:rsid w:val="00F9625A"/>
    <w:rsid w:val="00FA0405"/>
    <w:rsid w:val="00FA14AF"/>
    <w:rsid w:val="00FA2A59"/>
    <w:rsid w:val="00FA302C"/>
    <w:rsid w:val="00FA3FCC"/>
    <w:rsid w:val="00FA422C"/>
    <w:rsid w:val="00FA4E42"/>
    <w:rsid w:val="00FA74DE"/>
    <w:rsid w:val="00FA7C4E"/>
    <w:rsid w:val="00FA7FA0"/>
    <w:rsid w:val="00FB052E"/>
    <w:rsid w:val="00FB0ED4"/>
    <w:rsid w:val="00FB2970"/>
    <w:rsid w:val="00FC53C2"/>
    <w:rsid w:val="00FD04F0"/>
    <w:rsid w:val="00FD0FDC"/>
    <w:rsid w:val="00FD1E79"/>
    <w:rsid w:val="00FD24CF"/>
    <w:rsid w:val="00FD613C"/>
    <w:rsid w:val="00FD6E9C"/>
    <w:rsid w:val="00FE09E9"/>
    <w:rsid w:val="00FE1184"/>
    <w:rsid w:val="00FE2DD6"/>
    <w:rsid w:val="00FE363E"/>
    <w:rsid w:val="00FE4446"/>
    <w:rsid w:val="00FE5B51"/>
    <w:rsid w:val="00FF104E"/>
    <w:rsid w:val="00FF1D19"/>
    <w:rsid w:val="00FF2438"/>
    <w:rsid w:val="00FF39E7"/>
    <w:rsid w:val="00FF71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0A5B5"/>
  <w15:docId w15:val="{7D67FA88-CCCE-4531-AAAD-01691653C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DB2"/>
  </w:style>
  <w:style w:type="paragraph" w:styleId="Heading1">
    <w:name w:val="heading 1"/>
    <w:basedOn w:val="Normal"/>
    <w:next w:val="Normal"/>
    <w:link w:val="Heading1Char"/>
    <w:uiPriority w:val="9"/>
    <w:qFormat/>
    <w:rsid w:val="00395D86"/>
    <w:pPr>
      <w:spacing w:after="0"/>
      <w:outlineLvl w:val="0"/>
    </w:pPr>
    <w:rPr>
      <w:b/>
      <w:bCs/>
      <w:sz w:val="24"/>
      <w:szCs w:val="20"/>
    </w:rPr>
  </w:style>
  <w:style w:type="paragraph" w:styleId="Heading2">
    <w:name w:val="heading 2"/>
    <w:basedOn w:val="Normal"/>
    <w:next w:val="Normal"/>
    <w:link w:val="Heading2Char"/>
    <w:uiPriority w:val="9"/>
    <w:unhideWhenUsed/>
    <w:qFormat/>
    <w:rsid w:val="00E958DA"/>
    <w:pPr>
      <w:spacing w:after="0" w:line="240" w:lineRule="auto"/>
      <w:jc w:val="both"/>
      <w:outlineLvl w:val="1"/>
    </w:pPr>
    <w:rPr>
      <w:rFonts w:eastAsia="Times New Roman" w:cstheme="minorHAnsi"/>
      <w:b/>
      <w:bCs/>
      <w:color w:val="000000"/>
      <w:lang w:eastAsia="en-GB"/>
    </w:rPr>
  </w:style>
  <w:style w:type="paragraph" w:styleId="Heading3">
    <w:name w:val="heading 3"/>
    <w:basedOn w:val="Normal"/>
    <w:next w:val="Normal"/>
    <w:link w:val="Heading3Char"/>
    <w:uiPriority w:val="9"/>
    <w:semiHidden/>
    <w:unhideWhenUsed/>
    <w:qFormat/>
    <w:rsid w:val="00EC0DB2"/>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C0DB2"/>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EC0DB2"/>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EC0DB2"/>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EC0DB2"/>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EC0DB2"/>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EC0DB2"/>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779"/>
    <w:pPr>
      <w:ind w:left="720"/>
      <w:contextualSpacing/>
    </w:pPr>
  </w:style>
  <w:style w:type="table" w:styleId="TableGrid">
    <w:name w:val="Table Grid"/>
    <w:basedOn w:val="TableNormal"/>
    <w:uiPriority w:val="39"/>
    <w:rsid w:val="00EB7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807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7A2"/>
    <w:rPr>
      <w:rFonts w:ascii="Calibri" w:eastAsia="Calibri" w:hAnsi="Calibri" w:cs="Times New Roman"/>
    </w:rPr>
  </w:style>
  <w:style w:type="paragraph" w:styleId="Footer">
    <w:name w:val="footer"/>
    <w:basedOn w:val="Normal"/>
    <w:link w:val="FooterChar"/>
    <w:uiPriority w:val="99"/>
    <w:unhideWhenUsed/>
    <w:rsid w:val="009807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7A2"/>
    <w:rPr>
      <w:rFonts w:ascii="Calibri" w:eastAsia="Calibri" w:hAnsi="Calibri" w:cs="Times New Roman"/>
    </w:rPr>
  </w:style>
  <w:style w:type="character" w:styleId="Hyperlink">
    <w:name w:val="Hyperlink"/>
    <w:basedOn w:val="DefaultParagraphFont"/>
    <w:uiPriority w:val="99"/>
    <w:unhideWhenUsed/>
    <w:rsid w:val="00682B18"/>
    <w:rPr>
      <w:color w:val="0563C1" w:themeColor="hyperlink"/>
      <w:u w:val="single"/>
    </w:rPr>
  </w:style>
  <w:style w:type="character" w:styleId="UnresolvedMention">
    <w:name w:val="Unresolved Mention"/>
    <w:basedOn w:val="DefaultParagraphFont"/>
    <w:uiPriority w:val="99"/>
    <w:semiHidden/>
    <w:unhideWhenUsed/>
    <w:rsid w:val="00682B18"/>
    <w:rPr>
      <w:color w:val="605E5C"/>
      <w:shd w:val="clear" w:color="auto" w:fill="E1DFDD"/>
    </w:rPr>
  </w:style>
  <w:style w:type="character" w:customStyle="1" w:styleId="Heading1Char">
    <w:name w:val="Heading 1 Char"/>
    <w:basedOn w:val="DefaultParagraphFont"/>
    <w:link w:val="Heading1"/>
    <w:uiPriority w:val="9"/>
    <w:rsid w:val="00395D86"/>
    <w:rPr>
      <w:b/>
      <w:bCs/>
      <w:sz w:val="24"/>
      <w:szCs w:val="20"/>
    </w:rPr>
  </w:style>
  <w:style w:type="paragraph" w:styleId="TOCHeading">
    <w:name w:val="TOC Heading"/>
    <w:basedOn w:val="Heading1"/>
    <w:next w:val="Normal"/>
    <w:uiPriority w:val="39"/>
    <w:unhideWhenUsed/>
    <w:qFormat/>
    <w:rsid w:val="00EC0DB2"/>
    <w:pPr>
      <w:outlineLvl w:val="9"/>
    </w:pPr>
  </w:style>
  <w:style w:type="character" w:customStyle="1" w:styleId="Heading2Char">
    <w:name w:val="Heading 2 Char"/>
    <w:basedOn w:val="DefaultParagraphFont"/>
    <w:link w:val="Heading2"/>
    <w:uiPriority w:val="9"/>
    <w:rsid w:val="00E958DA"/>
    <w:rPr>
      <w:rFonts w:eastAsia="Times New Roman" w:cstheme="minorHAnsi"/>
      <w:b/>
      <w:bCs/>
      <w:color w:val="000000"/>
      <w:lang w:eastAsia="en-GB"/>
    </w:rPr>
  </w:style>
  <w:style w:type="character" w:customStyle="1" w:styleId="Heading3Char">
    <w:name w:val="Heading 3 Char"/>
    <w:basedOn w:val="DefaultParagraphFont"/>
    <w:link w:val="Heading3"/>
    <w:uiPriority w:val="9"/>
    <w:semiHidden/>
    <w:rsid w:val="00EC0DB2"/>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C0DB2"/>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EC0DB2"/>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EC0DB2"/>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EC0DB2"/>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EC0DB2"/>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EC0DB2"/>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EC0DB2"/>
    <w:pPr>
      <w:spacing w:line="240" w:lineRule="auto"/>
    </w:pPr>
    <w:rPr>
      <w:b/>
      <w:bCs/>
      <w:smallCaps/>
      <w:color w:val="44546A" w:themeColor="text2"/>
    </w:rPr>
  </w:style>
  <w:style w:type="paragraph" w:styleId="Title">
    <w:name w:val="Title"/>
    <w:basedOn w:val="Normal"/>
    <w:next w:val="Normal"/>
    <w:link w:val="TitleChar"/>
    <w:uiPriority w:val="10"/>
    <w:qFormat/>
    <w:rsid w:val="00EC0DB2"/>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EC0DB2"/>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EC0DB2"/>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EC0DB2"/>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EC0DB2"/>
    <w:rPr>
      <w:b/>
      <w:bCs/>
    </w:rPr>
  </w:style>
  <w:style w:type="character" w:styleId="Emphasis">
    <w:name w:val="Emphasis"/>
    <w:basedOn w:val="DefaultParagraphFont"/>
    <w:uiPriority w:val="20"/>
    <w:qFormat/>
    <w:rsid w:val="00EC0DB2"/>
    <w:rPr>
      <w:i/>
      <w:iCs/>
    </w:rPr>
  </w:style>
  <w:style w:type="paragraph" w:styleId="NoSpacing">
    <w:name w:val="No Spacing"/>
    <w:uiPriority w:val="1"/>
    <w:qFormat/>
    <w:rsid w:val="00EC0DB2"/>
    <w:pPr>
      <w:spacing w:after="0" w:line="240" w:lineRule="auto"/>
    </w:pPr>
  </w:style>
  <w:style w:type="paragraph" w:styleId="Quote">
    <w:name w:val="Quote"/>
    <w:basedOn w:val="Normal"/>
    <w:next w:val="Normal"/>
    <w:link w:val="QuoteChar"/>
    <w:uiPriority w:val="29"/>
    <w:qFormat/>
    <w:rsid w:val="00EC0DB2"/>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EC0DB2"/>
    <w:rPr>
      <w:color w:val="44546A" w:themeColor="text2"/>
      <w:sz w:val="24"/>
      <w:szCs w:val="24"/>
    </w:rPr>
  </w:style>
  <w:style w:type="paragraph" w:styleId="IntenseQuote">
    <w:name w:val="Intense Quote"/>
    <w:basedOn w:val="Normal"/>
    <w:next w:val="Normal"/>
    <w:link w:val="IntenseQuoteChar"/>
    <w:uiPriority w:val="30"/>
    <w:qFormat/>
    <w:rsid w:val="00EC0DB2"/>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EC0DB2"/>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EC0DB2"/>
    <w:rPr>
      <w:i/>
      <w:iCs/>
      <w:color w:val="595959" w:themeColor="text1" w:themeTint="A6"/>
    </w:rPr>
  </w:style>
  <w:style w:type="character" w:styleId="IntenseEmphasis">
    <w:name w:val="Intense Emphasis"/>
    <w:basedOn w:val="DefaultParagraphFont"/>
    <w:uiPriority w:val="21"/>
    <w:qFormat/>
    <w:rsid w:val="00EC0DB2"/>
    <w:rPr>
      <w:b/>
      <w:bCs/>
      <w:i/>
      <w:iCs/>
    </w:rPr>
  </w:style>
  <w:style w:type="character" w:styleId="SubtleReference">
    <w:name w:val="Subtle Reference"/>
    <w:basedOn w:val="DefaultParagraphFont"/>
    <w:uiPriority w:val="31"/>
    <w:qFormat/>
    <w:rsid w:val="00EC0DB2"/>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EC0DB2"/>
    <w:rPr>
      <w:b/>
      <w:bCs/>
      <w:smallCaps/>
      <w:color w:val="44546A" w:themeColor="text2"/>
      <w:u w:val="single"/>
    </w:rPr>
  </w:style>
  <w:style w:type="character" w:styleId="BookTitle">
    <w:name w:val="Book Title"/>
    <w:basedOn w:val="DefaultParagraphFont"/>
    <w:uiPriority w:val="33"/>
    <w:qFormat/>
    <w:rsid w:val="00EC0DB2"/>
    <w:rPr>
      <w:b/>
      <w:bCs/>
      <w:smallCaps/>
      <w:spacing w:val="10"/>
    </w:rPr>
  </w:style>
  <w:style w:type="paragraph" w:styleId="TOC1">
    <w:name w:val="toc 1"/>
    <w:basedOn w:val="Normal"/>
    <w:next w:val="Normal"/>
    <w:autoRedefine/>
    <w:uiPriority w:val="39"/>
    <w:unhideWhenUsed/>
    <w:rsid w:val="00913584"/>
    <w:pPr>
      <w:tabs>
        <w:tab w:val="left" w:pos="426"/>
        <w:tab w:val="right" w:leader="dot" w:pos="10456"/>
      </w:tabs>
      <w:spacing w:after="100"/>
    </w:pPr>
  </w:style>
  <w:style w:type="paragraph" w:styleId="NormalWeb">
    <w:name w:val="Normal (Web)"/>
    <w:basedOn w:val="Normal"/>
    <w:uiPriority w:val="99"/>
    <w:semiHidden/>
    <w:unhideWhenUsed/>
    <w:rsid w:val="007A348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2">
    <w:name w:val="toc 2"/>
    <w:basedOn w:val="Normal"/>
    <w:next w:val="Normal"/>
    <w:autoRedefine/>
    <w:uiPriority w:val="39"/>
    <w:unhideWhenUsed/>
    <w:rsid w:val="00E958DA"/>
    <w:pPr>
      <w:spacing w:after="100"/>
      <w:ind w:left="220"/>
    </w:pPr>
  </w:style>
  <w:style w:type="character" w:styleId="CommentReference">
    <w:name w:val="annotation reference"/>
    <w:basedOn w:val="DefaultParagraphFont"/>
    <w:uiPriority w:val="99"/>
    <w:semiHidden/>
    <w:unhideWhenUsed/>
    <w:rsid w:val="00A73432"/>
    <w:rPr>
      <w:sz w:val="16"/>
      <w:szCs w:val="16"/>
    </w:rPr>
  </w:style>
  <w:style w:type="paragraph" w:styleId="CommentText">
    <w:name w:val="annotation text"/>
    <w:basedOn w:val="Normal"/>
    <w:link w:val="CommentTextChar"/>
    <w:uiPriority w:val="99"/>
    <w:unhideWhenUsed/>
    <w:rsid w:val="00A73432"/>
    <w:pPr>
      <w:spacing w:line="240" w:lineRule="auto"/>
    </w:pPr>
    <w:rPr>
      <w:sz w:val="20"/>
      <w:szCs w:val="20"/>
    </w:rPr>
  </w:style>
  <w:style w:type="character" w:customStyle="1" w:styleId="CommentTextChar">
    <w:name w:val="Comment Text Char"/>
    <w:basedOn w:val="DefaultParagraphFont"/>
    <w:link w:val="CommentText"/>
    <w:uiPriority w:val="99"/>
    <w:rsid w:val="00A73432"/>
    <w:rPr>
      <w:sz w:val="20"/>
      <w:szCs w:val="20"/>
    </w:rPr>
  </w:style>
  <w:style w:type="paragraph" w:styleId="CommentSubject">
    <w:name w:val="annotation subject"/>
    <w:basedOn w:val="CommentText"/>
    <w:next w:val="CommentText"/>
    <w:link w:val="CommentSubjectChar"/>
    <w:uiPriority w:val="99"/>
    <w:semiHidden/>
    <w:unhideWhenUsed/>
    <w:rsid w:val="00A73432"/>
    <w:rPr>
      <w:b/>
      <w:bCs/>
    </w:rPr>
  </w:style>
  <w:style w:type="character" w:customStyle="1" w:styleId="CommentSubjectChar">
    <w:name w:val="Comment Subject Char"/>
    <w:basedOn w:val="CommentTextChar"/>
    <w:link w:val="CommentSubject"/>
    <w:uiPriority w:val="99"/>
    <w:semiHidden/>
    <w:rsid w:val="00A73432"/>
    <w:rPr>
      <w:b/>
      <w:bCs/>
      <w:sz w:val="20"/>
      <w:szCs w:val="20"/>
    </w:rPr>
  </w:style>
  <w:style w:type="character" w:styleId="FollowedHyperlink">
    <w:name w:val="FollowedHyperlink"/>
    <w:basedOn w:val="DefaultParagraphFont"/>
    <w:uiPriority w:val="99"/>
    <w:semiHidden/>
    <w:unhideWhenUsed/>
    <w:rsid w:val="009A7B34"/>
    <w:rPr>
      <w:color w:val="954F72" w:themeColor="followedHyperlink"/>
      <w:u w:val="single"/>
    </w:rPr>
  </w:style>
  <w:style w:type="paragraph" w:styleId="Revision">
    <w:name w:val="Revision"/>
    <w:hidden/>
    <w:uiPriority w:val="99"/>
    <w:semiHidden/>
    <w:rsid w:val="00CA512C"/>
    <w:pPr>
      <w:spacing w:after="0" w:line="240" w:lineRule="auto"/>
    </w:pPr>
  </w:style>
  <w:style w:type="character" w:styleId="PlaceholderText">
    <w:name w:val="Placeholder Text"/>
    <w:basedOn w:val="DefaultParagraphFont"/>
    <w:uiPriority w:val="99"/>
    <w:semiHidden/>
    <w:rsid w:val="006179AB"/>
    <w:rPr>
      <w:color w:val="808080"/>
    </w:rPr>
  </w:style>
  <w:style w:type="paragraph" w:customStyle="1" w:styleId="Default">
    <w:name w:val="Default"/>
    <w:rsid w:val="009846F5"/>
    <w:pPr>
      <w:autoSpaceDE w:val="0"/>
      <w:autoSpaceDN w:val="0"/>
      <w:adjustRightInd w:val="0"/>
      <w:spacing w:after="0" w:line="240" w:lineRule="auto"/>
    </w:pPr>
    <w:rPr>
      <w:rFonts w:ascii="Arial" w:eastAsiaTheme="minorHAnsi" w:hAnsi="Arial" w:cs="Arial"/>
      <w:color w:val="000000"/>
      <w:sz w:val="24"/>
      <w:szCs w:val="24"/>
    </w:rPr>
  </w:style>
  <w:style w:type="character" w:customStyle="1" w:styleId="NormalBold">
    <w:name w:val="Normal Bold"/>
    <w:rsid w:val="007168C5"/>
    <w:rPr>
      <w:rFonts w:ascii="Arial" w:hAnsi="Arial"/>
      <w:b/>
      <w:bCs/>
      <w:sz w:val="22"/>
    </w:rPr>
  </w:style>
  <w:style w:type="table" w:styleId="TableGridLight">
    <w:name w:val="Grid Table Light"/>
    <w:basedOn w:val="TableNormal"/>
    <w:uiPriority w:val="40"/>
    <w:rsid w:val="00E607AB"/>
    <w:pPr>
      <w:spacing w:after="0" w:line="240" w:lineRule="auto"/>
    </w:pPr>
    <w:rPr>
      <w:rFonts w:eastAsiaTheme="minorHAn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60704">
      <w:bodyDiv w:val="1"/>
      <w:marLeft w:val="0"/>
      <w:marRight w:val="0"/>
      <w:marTop w:val="0"/>
      <w:marBottom w:val="0"/>
      <w:divBdr>
        <w:top w:val="none" w:sz="0" w:space="0" w:color="auto"/>
        <w:left w:val="none" w:sz="0" w:space="0" w:color="auto"/>
        <w:bottom w:val="none" w:sz="0" w:space="0" w:color="auto"/>
        <w:right w:val="none" w:sz="0" w:space="0" w:color="auto"/>
      </w:divBdr>
    </w:div>
    <w:div w:id="419059598">
      <w:bodyDiv w:val="1"/>
      <w:marLeft w:val="0"/>
      <w:marRight w:val="0"/>
      <w:marTop w:val="0"/>
      <w:marBottom w:val="0"/>
      <w:divBdr>
        <w:top w:val="none" w:sz="0" w:space="0" w:color="auto"/>
        <w:left w:val="none" w:sz="0" w:space="0" w:color="auto"/>
        <w:bottom w:val="none" w:sz="0" w:space="0" w:color="auto"/>
        <w:right w:val="none" w:sz="0" w:space="0" w:color="auto"/>
      </w:divBdr>
    </w:div>
    <w:div w:id="497354254">
      <w:bodyDiv w:val="1"/>
      <w:marLeft w:val="0"/>
      <w:marRight w:val="0"/>
      <w:marTop w:val="0"/>
      <w:marBottom w:val="0"/>
      <w:divBdr>
        <w:top w:val="none" w:sz="0" w:space="0" w:color="auto"/>
        <w:left w:val="none" w:sz="0" w:space="0" w:color="auto"/>
        <w:bottom w:val="none" w:sz="0" w:space="0" w:color="auto"/>
        <w:right w:val="none" w:sz="0" w:space="0" w:color="auto"/>
      </w:divBdr>
    </w:div>
    <w:div w:id="744913981">
      <w:bodyDiv w:val="1"/>
      <w:marLeft w:val="0"/>
      <w:marRight w:val="0"/>
      <w:marTop w:val="0"/>
      <w:marBottom w:val="0"/>
      <w:divBdr>
        <w:top w:val="none" w:sz="0" w:space="0" w:color="auto"/>
        <w:left w:val="none" w:sz="0" w:space="0" w:color="auto"/>
        <w:bottom w:val="none" w:sz="0" w:space="0" w:color="auto"/>
        <w:right w:val="none" w:sz="0" w:space="0" w:color="auto"/>
      </w:divBdr>
    </w:div>
    <w:div w:id="860316569">
      <w:bodyDiv w:val="1"/>
      <w:marLeft w:val="0"/>
      <w:marRight w:val="0"/>
      <w:marTop w:val="0"/>
      <w:marBottom w:val="0"/>
      <w:divBdr>
        <w:top w:val="none" w:sz="0" w:space="0" w:color="auto"/>
        <w:left w:val="none" w:sz="0" w:space="0" w:color="auto"/>
        <w:bottom w:val="none" w:sz="0" w:space="0" w:color="auto"/>
        <w:right w:val="none" w:sz="0" w:space="0" w:color="auto"/>
      </w:divBdr>
    </w:div>
    <w:div w:id="1063720172">
      <w:bodyDiv w:val="1"/>
      <w:marLeft w:val="0"/>
      <w:marRight w:val="0"/>
      <w:marTop w:val="0"/>
      <w:marBottom w:val="0"/>
      <w:divBdr>
        <w:top w:val="none" w:sz="0" w:space="0" w:color="auto"/>
        <w:left w:val="none" w:sz="0" w:space="0" w:color="auto"/>
        <w:bottom w:val="none" w:sz="0" w:space="0" w:color="auto"/>
        <w:right w:val="none" w:sz="0" w:space="0" w:color="auto"/>
      </w:divBdr>
    </w:div>
    <w:div w:id="1199243819">
      <w:bodyDiv w:val="1"/>
      <w:marLeft w:val="0"/>
      <w:marRight w:val="0"/>
      <w:marTop w:val="0"/>
      <w:marBottom w:val="0"/>
      <w:divBdr>
        <w:top w:val="none" w:sz="0" w:space="0" w:color="auto"/>
        <w:left w:val="none" w:sz="0" w:space="0" w:color="auto"/>
        <w:bottom w:val="none" w:sz="0" w:space="0" w:color="auto"/>
        <w:right w:val="none" w:sz="0" w:space="0" w:color="auto"/>
      </w:divBdr>
    </w:div>
    <w:div w:id="1255018167">
      <w:bodyDiv w:val="1"/>
      <w:marLeft w:val="0"/>
      <w:marRight w:val="0"/>
      <w:marTop w:val="0"/>
      <w:marBottom w:val="0"/>
      <w:divBdr>
        <w:top w:val="none" w:sz="0" w:space="0" w:color="auto"/>
        <w:left w:val="none" w:sz="0" w:space="0" w:color="auto"/>
        <w:bottom w:val="none" w:sz="0" w:space="0" w:color="auto"/>
        <w:right w:val="none" w:sz="0" w:space="0" w:color="auto"/>
      </w:divBdr>
    </w:div>
    <w:div w:id="1259366070">
      <w:bodyDiv w:val="1"/>
      <w:marLeft w:val="0"/>
      <w:marRight w:val="0"/>
      <w:marTop w:val="0"/>
      <w:marBottom w:val="0"/>
      <w:divBdr>
        <w:top w:val="none" w:sz="0" w:space="0" w:color="auto"/>
        <w:left w:val="none" w:sz="0" w:space="0" w:color="auto"/>
        <w:bottom w:val="none" w:sz="0" w:space="0" w:color="auto"/>
        <w:right w:val="none" w:sz="0" w:space="0" w:color="auto"/>
      </w:divBdr>
    </w:div>
    <w:div w:id="1305506249">
      <w:bodyDiv w:val="1"/>
      <w:marLeft w:val="0"/>
      <w:marRight w:val="0"/>
      <w:marTop w:val="0"/>
      <w:marBottom w:val="0"/>
      <w:divBdr>
        <w:top w:val="none" w:sz="0" w:space="0" w:color="auto"/>
        <w:left w:val="none" w:sz="0" w:space="0" w:color="auto"/>
        <w:bottom w:val="none" w:sz="0" w:space="0" w:color="auto"/>
        <w:right w:val="none" w:sz="0" w:space="0" w:color="auto"/>
      </w:divBdr>
    </w:div>
    <w:div w:id="1318415808">
      <w:bodyDiv w:val="1"/>
      <w:marLeft w:val="0"/>
      <w:marRight w:val="0"/>
      <w:marTop w:val="0"/>
      <w:marBottom w:val="0"/>
      <w:divBdr>
        <w:top w:val="none" w:sz="0" w:space="0" w:color="auto"/>
        <w:left w:val="none" w:sz="0" w:space="0" w:color="auto"/>
        <w:bottom w:val="none" w:sz="0" w:space="0" w:color="auto"/>
        <w:right w:val="none" w:sz="0" w:space="0" w:color="auto"/>
      </w:divBdr>
    </w:div>
    <w:div w:id="1435007861">
      <w:bodyDiv w:val="1"/>
      <w:marLeft w:val="0"/>
      <w:marRight w:val="0"/>
      <w:marTop w:val="0"/>
      <w:marBottom w:val="0"/>
      <w:divBdr>
        <w:top w:val="none" w:sz="0" w:space="0" w:color="auto"/>
        <w:left w:val="none" w:sz="0" w:space="0" w:color="auto"/>
        <w:bottom w:val="none" w:sz="0" w:space="0" w:color="auto"/>
        <w:right w:val="none" w:sz="0" w:space="0" w:color="auto"/>
      </w:divBdr>
    </w:div>
    <w:div w:id="1663049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collections/guidance-on-the-criteria-for-being-a-higher-risk-build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ssets.publishing.service.gov.uk/media/5afc50c840f0b622e4844ab4/Building_a_Safer_Future_-_web.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courses.citb.co.uk/learningprograms/viewprogram/id,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onstructionleadershipcouncil.co.uk/workstream/people-and-skills/competenc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nstructionleadershipcouncil.co.uk/wp-content/uploads/2024/12/ICSG-announcement-v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6257cc8-dcda-4a7f-8372-7e09157faba4">
      <Terms xmlns="http://schemas.microsoft.com/office/infopath/2007/PartnerControls"/>
    </lcf76f155ced4ddcb4097134ff3c332f>
    <TaxCatchAll xmlns="55f056f1-0b50-4bcf-a437-ef598767da0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DF27A1311BDD43BADB2C07FDF64E9B" ma:contentTypeVersion="14" ma:contentTypeDescription="Create a new document." ma:contentTypeScope="" ma:versionID="f3800e5555244adf5ae8f90fa710545a">
  <xsd:schema xmlns:xsd="http://www.w3.org/2001/XMLSchema" xmlns:xs="http://www.w3.org/2001/XMLSchema" xmlns:p="http://schemas.microsoft.com/office/2006/metadata/properties" xmlns:ns2="b6257cc8-dcda-4a7f-8372-7e09157faba4" xmlns:ns3="55f056f1-0b50-4bcf-a437-ef598767da06" targetNamespace="http://schemas.microsoft.com/office/2006/metadata/properties" ma:root="true" ma:fieldsID="d2e1b342a0e64537a91b0bd941018f55" ns2:_="" ns3:_="">
    <xsd:import namespace="b6257cc8-dcda-4a7f-8372-7e09157faba4"/>
    <xsd:import namespace="55f056f1-0b50-4bcf-a437-ef598767da0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257cc8-dcda-4a7f-8372-7e09157fab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82b8372-5806-4e0e-8ccd-509566ef937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5f056f1-0b50-4bcf-a437-ef598767da0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61d97b2-c4fb-4d9c-b043-16bb8140dcb9}" ma:internalName="TaxCatchAll" ma:showField="CatchAllData" ma:web="55f056f1-0b50-4bcf-a437-ef598767da0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4FD24-8583-44B8-B153-49A18E0755D4}">
  <ds:schemaRefs>
    <ds:schemaRef ds:uri="http://schemas.microsoft.com/office/2006/metadata/properties"/>
    <ds:schemaRef ds:uri="http://schemas.microsoft.com/office/infopath/2007/PartnerControls"/>
    <ds:schemaRef ds:uri="b6257cc8-dcda-4a7f-8372-7e09157faba4"/>
    <ds:schemaRef ds:uri="55f056f1-0b50-4bcf-a437-ef598767da06"/>
  </ds:schemaRefs>
</ds:datastoreItem>
</file>

<file path=customXml/itemProps2.xml><?xml version="1.0" encoding="utf-8"?>
<ds:datastoreItem xmlns:ds="http://schemas.openxmlformats.org/officeDocument/2006/customXml" ds:itemID="{42FDF4A5-E729-4951-8D2D-9AC04800F349}">
  <ds:schemaRefs>
    <ds:schemaRef ds:uri="http://schemas.microsoft.com/sharepoint/v3/contenttype/forms"/>
  </ds:schemaRefs>
</ds:datastoreItem>
</file>

<file path=customXml/itemProps3.xml><?xml version="1.0" encoding="utf-8"?>
<ds:datastoreItem xmlns:ds="http://schemas.openxmlformats.org/officeDocument/2006/customXml" ds:itemID="{0A4434BA-0009-4EE6-8617-FFA0DFF11B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257cc8-dcda-4a7f-8372-7e09157faba4"/>
    <ds:schemaRef ds:uri="55f056f1-0b50-4bcf-a437-ef598767d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ADB4F1-D18F-40EB-9C3C-AEE54A8E1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1</Pages>
  <Words>1519</Words>
  <Characters>8662</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10161</CharactersWithSpaces>
  <SharedDoc>false</SharedDoc>
  <HLinks>
    <vt:vector size="66" baseType="variant">
      <vt:variant>
        <vt:i4>7340143</vt:i4>
      </vt:variant>
      <vt:variant>
        <vt:i4>51</vt:i4>
      </vt:variant>
      <vt:variant>
        <vt:i4>0</vt:i4>
      </vt:variant>
      <vt:variant>
        <vt:i4>5</vt:i4>
      </vt:variant>
      <vt:variant>
        <vt:lpwstr>https://ecourses.citb.co.uk/learningprograms/viewprogram/id,23</vt:lpwstr>
      </vt:variant>
      <vt:variant>
        <vt:lpwstr/>
      </vt:variant>
      <vt:variant>
        <vt:i4>589852</vt:i4>
      </vt:variant>
      <vt:variant>
        <vt:i4>48</vt:i4>
      </vt:variant>
      <vt:variant>
        <vt:i4>0</vt:i4>
      </vt:variant>
      <vt:variant>
        <vt:i4>5</vt:i4>
      </vt:variant>
      <vt:variant>
        <vt:lpwstr>https://www.constructionleadershipcouncil.co.uk/workstream/people-and-skills/competence/</vt:lpwstr>
      </vt:variant>
      <vt:variant>
        <vt:lpwstr/>
      </vt:variant>
      <vt:variant>
        <vt:i4>3145760</vt:i4>
      </vt:variant>
      <vt:variant>
        <vt:i4>45</vt:i4>
      </vt:variant>
      <vt:variant>
        <vt:i4>0</vt:i4>
      </vt:variant>
      <vt:variant>
        <vt:i4>5</vt:i4>
      </vt:variant>
      <vt:variant>
        <vt:lpwstr>https://www.constructionleadershipcouncil.co.uk/wp-content/uploads/2024/12/ICSG-announcement-v7.pdf</vt:lpwstr>
      </vt:variant>
      <vt:variant>
        <vt:lpwstr/>
      </vt:variant>
      <vt:variant>
        <vt:i4>3145839</vt:i4>
      </vt:variant>
      <vt:variant>
        <vt:i4>42</vt:i4>
      </vt:variant>
      <vt:variant>
        <vt:i4>0</vt:i4>
      </vt:variant>
      <vt:variant>
        <vt:i4>5</vt:i4>
      </vt:variant>
      <vt:variant>
        <vt:lpwstr>https://www.gov.uk/government/collections/guidance-on-the-criteria-for-being-a-higher-risk-building</vt:lpwstr>
      </vt:variant>
      <vt:variant>
        <vt:lpwstr/>
      </vt:variant>
      <vt:variant>
        <vt:i4>4587557</vt:i4>
      </vt:variant>
      <vt:variant>
        <vt:i4>39</vt:i4>
      </vt:variant>
      <vt:variant>
        <vt:i4>0</vt:i4>
      </vt:variant>
      <vt:variant>
        <vt:i4>5</vt:i4>
      </vt:variant>
      <vt:variant>
        <vt:lpwstr>https://assets.publishing.service.gov.uk/media/5afc50c840f0b622e4844ab4/Building_a_Safer_Future_-_web.pdf</vt:lpwstr>
      </vt:variant>
      <vt:variant>
        <vt:lpwstr/>
      </vt:variant>
      <vt:variant>
        <vt:i4>1507381</vt:i4>
      </vt:variant>
      <vt:variant>
        <vt:i4>32</vt:i4>
      </vt:variant>
      <vt:variant>
        <vt:i4>0</vt:i4>
      </vt:variant>
      <vt:variant>
        <vt:i4>5</vt:i4>
      </vt:variant>
      <vt:variant>
        <vt:lpwstr/>
      </vt:variant>
      <vt:variant>
        <vt:lpwstr>_Toc187676486</vt:lpwstr>
      </vt:variant>
      <vt:variant>
        <vt:i4>1507381</vt:i4>
      </vt:variant>
      <vt:variant>
        <vt:i4>26</vt:i4>
      </vt:variant>
      <vt:variant>
        <vt:i4>0</vt:i4>
      </vt:variant>
      <vt:variant>
        <vt:i4>5</vt:i4>
      </vt:variant>
      <vt:variant>
        <vt:lpwstr/>
      </vt:variant>
      <vt:variant>
        <vt:lpwstr>_Toc187676485</vt:lpwstr>
      </vt:variant>
      <vt:variant>
        <vt:i4>1507381</vt:i4>
      </vt:variant>
      <vt:variant>
        <vt:i4>20</vt:i4>
      </vt:variant>
      <vt:variant>
        <vt:i4>0</vt:i4>
      </vt:variant>
      <vt:variant>
        <vt:i4>5</vt:i4>
      </vt:variant>
      <vt:variant>
        <vt:lpwstr/>
      </vt:variant>
      <vt:variant>
        <vt:lpwstr>_Toc187676484</vt:lpwstr>
      </vt:variant>
      <vt:variant>
        <vt:i4>1507381</vt:i4>
      </vt:variant>
      <vt:variant>
        <vt:i4>14</vt:i4>
      </vt:variant>
      <vt:variant>
        <vt:i4>0</vt:i4>
      </vt:variant>
      <vt:variant>
        <vt:i4>5</vt:i4>
      </vt:variant>
      <vt:variant>
        <vt:lpwstr/>
      </vt:variant>
      <vt:variant>
        <vt:lpwstr>_Toc187676483</vt:lpwstr>
      </vt:variant>
      <vt:variant>
        <vt:i4>1507381</vt:i4>
      </vt:variant>
      <vt:variant>
        <vt:i4>8</vt:i4>
      </vt:variant>
      <vt:variant>
        <vt:i4>0</vt:i4>
      </vt:variant>
      <vt:variant>
        <vt:i4>5</vt:i4>
      </vt:variant>
      <vt:variant>
        <vt:lpwstr/>
      </vt:variant>
      <vt:variant>
        <vt:lpwstr>_Toc187676482</vt:lpwstr>
      </vt:variant>
      <vt:variant>
        <vt:i4>1507381</vt:i4>
      </vt:variant>
      <vt:variant>
        <vt:i4>2</vt:i4>
      </vt:variant>
      <vt:variant>
        <vt:i4>0</vt:i4>
      </vt:variant>
      <vt:variant>
        <vt:i4>5</vt:i4>
      </vt:variant>
      <vt:variant>
        <vt:lpwstr/>
      </vt:variant>
      <vt:variant>
        <vt:lpwstr>_Toc187676481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Faye Burnett</cp:lastModifiedBy>
  <cp:revision>19</cp:revision>
  <cp:lastPrinted>2022-05-17T15:46:00Z</cp:lastPrinted>
  <dcterms:created xsi:type="dcterms:W3CDTF">2024-10-15T19:49:00Z</dcterms:created>
  <dcterms:modified xsi:type="dcterms:W3CDTF">2025-01-13T16:06:00Z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0d87a5c-0f5a-43f2-a5b6-162bf6517b6e_Enabled">
    <vt:lpwstr>True</vt:lpwstr>
  </property>
  <property fmtid="{D5CDD505-2E9C-101B-9397-08002B2CF9AE}" pid="3" name="MSIP_Label_40d87a5c-0f5a-43f2-a5b6-162bf6517b6e_SiteId">
    <vt:lpwstr>f9300280-65a0-46f8-a18c-a296431980f5</vt:lpwstr>
  </property>
  <property fmtid="{D5CDD505-2E9C-101B-9397-08002B2CF9AE}" pid="4" name="MSIP_Label_40d87a5c-0f5a-43f2-a5b6-162bf6517b6e_Owner">
    <vt:lpwstr>Faye.Burnett@macegroup.com</vt:lpwstr>
  </property>
  <property fmtid="{D5CDD505-2E9C-101B-9397-08002B2CF9AE}" pid="5" name="MSIP_Label_40d87a5c-0f5a-43f2-a5b6-162bf6517b6e_SetDate">
    <vt:lpwstr>2022-03-30T08:42:50.8443891Z</vt:lpwstr>
  </property>
  <property fmtid="{D5CDD505-2E9C-101B-9397-08002B2CF9AE}" pid="6" name="MSIP_Label_40d87a5c-0f5a-43f2-a5b6-162bf6517b6e_Name">
    <vt:lpwstr>Public</vt:lpwstr>
  </property>
  <property fmtid="{D5CDD505-2E9C-101B-9397-08002B2CF9AE}" pid="7" name="MSIP_Label_40d87a5c-0f5a-43f2-a5b6-162bf6517b6e_Application">
    <vt:lpwstr>Microsoft Azure Information Protection</vt:lpwstr>
  </property>
  <property fmtid="{D5CDD505-2E9C-101B-9397-08002B2CF9AE}" pid="8" name="MSIP_Label_40d87a5c-0f5a-43f2-a5b6-162bf6517b6e_Extended_MSFT_Method">
    <vt:lpwstr>Automatic</vt:lpwstr>
  </property>
  <property fmtid="{D5CDD505-2E9C-101B-9397-08002B2CF9AE}" pid="9" name="MSIP_Label_ff528e02-ab69-43a8-9134-6d8d1b0c706c_Enabled">
    <vt:lpwstr>True</vt:lpwstr>
  </property>
  <property fmtid="{D5CDD505-2E9C-101B-9397-08002B2CF9AE}" pid="10" name="MSIP_Label_ff528e02-ab69-43a8-9134-6d8d1b0c706c_SiteId">
    <vt:lpwstr>f9300280-65a0-46f8-a18c-a296431980f5</vt:lpwstr>
  </property>
  <property fmtid="{D5CDD505-2E9C-101B-9397-08002B2CF9AE}" pid="11" name="MSIP_Label_ff528e02-ab69-43a8-9134-6d8d1b0c706c_Owner">
    <vt:lpwstr>Faye.Burnett@macegroup.com</vt:lpwstr>
  </property>
  <property fmtid="{D5CDD505-2E9C-101B-9397-08002B2CF9AE}" pid="12" name="MSIP_Label_ff528e02-ab69-43a8-9134-6d8d1b0c706c_SetDate">
    <vt:lpwstr>2022-03-30T08:42:50.8443891Z</vt:lpwstr>
  </property>
  <property fmtid="{D5CDD505-2E9C-101B-9397-08002B2CF9AE}" pid="13" name="MSIP_Label_ff528e02-ab69-43a8-9134-6d8d1b0c706c_Name">
    <vt:lpwstr>Markings</vt:lpwstr>
  </property>
  <property fmtid="{D5CDD505-2E9C-101B-9397-08002B2CF9AE}" pid="14" name="MSIP_Label_ff528e02-ab69-43a8-9134-6d8d1b0c706c_Application">
    <vt:lpwstr>Microsoft Azure Information Protection</vt:lpwstr>
  </property>
  <property fmtid="{D5CDD505-2E9C-101B-9397-08002B2CF9AE}" pid="15" name="MSIP_Label_ff528e02-ab69-43a8-9134-6d8d1b0c706c_Parent">
    <vt:lpwstr>40d87a5c-0f5a-43f2-a5b6-162bf6517b6e</vt:lpwstr>
  </property>
  <property fmtid="{D5CDD505-2E9C-101B-9397-08002B2CF9AE}" pid="16" name="MSIP_Label_ff528e02-ab69-43a8-9134-6d8d1b0c706c_Extended_MSFT_Method">
    <vt:lpwstr>Automatic</vt:lpwstr>
  </property>
  <property fmtid="{D5CDD505-2E9C-101B-9397-08002B2CF9AE}" pid="17" name="Sensitivity">
    <vt:lpwstr>Public Markings</vt:lpwstr>
  </property>
  <property fmtid="{D5CDD505-2E9C-101B-9397-08002B2CF9AE}" pid="18" name="ContentTypeId">
    <vt:lpwstr>0x010100A6DF27A1311BDD43BADB2C07FDF64E9B</vt:lpwstr>
  </property>
  <property fmtid="{D5CDD505-2E9C-101B-9397-08002B2CF9AE}" pid="19" name="MediaServiceImageTags">
    <vt:lpwstr/>
  </property>
  <property fmtid="{D5CDD505-2E9C-101B-9397-08002B2CF9AE}" pid="20" name="lcf76f155ced4ddcb4097134ff3c332f">
    <vt:lpwstr/>
  </property>
  <property fmtid="{D5CDD505-2E9C-101B-9397-08002B2CF9AE}" pid="21" name="TaxCatchAll">
    <vt:lpwstr/>
  </property>
</Properties>
</file>