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4DABD" w14:textId="695B2390" w:rsidR="003D1B5F" w:rsidRPr="00930185" w:rsidRDefault="00930185" w:rsidP="00930185">
      <w:pPr>
        <w:pStyle w:val="Title"/>
        <w:jc w:val="left"/>
      </w:pPr>
      <w:r w:rsidRPr="00930185">
        <w:t xml:space="preserve">Insert </w:t>
      </w:r>
      <w:r w:rsidR="00DC2A0C" w:rsidRPr="00930185">
        <w:t xml:space="preserve">Sector Group </w:t>
      </w:r>
      <w:r w:rsidRPr="00930185">
        <w:t>Name</w:t>
      </w:r>
    </w:p>
    <w:p w14:paraId="370818E2" w14:textId="2417F15F" w:rsidR="00930185" w:rsidRPr="00930185" w:rsidRDefault="00930185" w:rsidP="00930185">
      <w:pPr>
        <w:pStyle w:val="Title"/>
        <w:jc w:val="left"/>
      </w:pPr>
      <w:r w:rsidRPr="00930185">
        <w:t>Consultation</w:t>
      </w:r>
    </w:p>
    <w:p w14:paraId="479057AD" w14:textId="6CD940BE" w:rsidR="00930185" w:rsidRPr="00930185" w:rsidRDefault="00930185" w:rsidP="00930185">
      <w:pPr>
        <w:pStyle w:val="Title"/>
        <w:jc w:val="left"/>
      </w:pPr>
      <w:r w:rsidRPr="00930185">
        <w:t xml:space="preserve">Date:  </w:t>
      </w:r>
    </w:p>
    <w:p w14:paraId="3AEFE367" w14:textId="2817A751" w:rsidR="00930185" w:rsidRPr="00930185" w:rsidRDefault="00930185" w:rsidP="00930185">
      <w:pPr>
        <w:pStyle w:val="Title"/>
        <w:jc w:val="left"/>
      </w:pPr>
      <w:r w:rsidRPr="00930185">
        <w:t xml:space="preserve">Rev:  </w:t>
      </w:r>
    </w:p>
    <w:p w14:paraId="291A55EB" w14:textId="29127045" w:rsidR="00ED5BC4" w:rsidRPr="00ED5BC4" w:rsidRDefault="00ED5BC4" w:rsidP="00F70B5E">
      <w:pPr>
        <w:pStyle w:val="Subtitle"/>
        <w:rPr>
          <w:highlight w:val="yellow"/>
        </w:rPr>
      </w:pPr>
      <w:r w:rsidRPr="00ED5BC4">
        <w:rPr>
          <w:highlight w:val="yellow"/>
        </w:rPr>
        <w:lastRenderedPageBreak/>
        <w:t>PLEASE NOTE:  This document was prepared by the Fire Stopping Priority Occupation under Phase 2 of the Working Group 2 Competence Framework project.</w:t>
      </w:r>
    </w:p>
    <w:p w14:paraId="4E5947CD" w14:textId="5D214959" w:rsidR="00ED5BC4" w:rsidRPr="00ED5BC4" w:rsidRDefault="00ED5BC4" w:rsidP="00ED5BC4">
      <w:pPr>
        <w:rPr>
          <w:b/>
          <w:bCs/>
          <w:sz w:val="24"/>
          <w:szCs w:val="24"/>
        </w:rPr>
      </w:pPr>
      <w:r w:rsidRPr="00ED5BC4">
        <w:rPr>
          <w:b/>
          <w:bCs/>
          <w:sz w:val="24"/>
          <w:szCs w:val="24"/>
          <w:highlight w:val="yellow"/>
        </w:rPr>
        <w:t>Please use this document as an example, but only use what you need to.  Text drafted by the Fire Stopping Group has purposefully been left for you to use or remove, but this does not mean that it has to be used.</w:t>
      </w:r>
    </w:p>
    <w:p w14:paraId="7CC29505" w14:textId="725EF235" w:rsidR="005B3B87" w:rsidRPr="00F70B5E" w:rsidRDefault="005B3B87" w:rsidP="00F70B5E">
      <w:pPr>
        <w:pStyle w:val="Subtitle"/>
      </w:pPr>
      <w:r w:rsidRPr="00F70B5E">
        <w:lastRenderedPageBreak/>
        <w:t>Executive summary</w:t>
      </w:r>
    </w:p>
    <w:p w14:paraId="25BDDC6E" w14:textId="3D0CA179" w:rsidR="002F7F1B" w:rsidRDefault="00D376C4" w:rsidP="001F6770">
      <w:pPr>
        <w:jc w:val="both"/>
        <w:rPr>
          <w:i/>
          <w:iCs/>
        </w:rPr>
      </w:pPr>
      <w:r w:rsidRPr="003A2D20">
        <w:rPr>
          <w:i/>
          <w:iCs/>
        </w:rPr>
        <w:t>Overview of main points</w:t>
      </w:r>
      <w:r w:rsidR="00754DF1" w:rsidRPr="003A2D20">
        <w:rPr>
          <w:i/>
          <w:iCs/>
        </w:rPr>
        <w:t xml:space="preserve"> – to be completed after </w:t>
      </w:r>
      <w:r w:rsidR="00640168" w:rsidRPr="003A2D20">
        <w:rPr>
          <w:i/>
          <w:iCs/>
        </w:rPr>
        <w:t xml:space="preserve">all sections </w:t>
      </w:r>
      <w:proofErr w:type="gramStart"/>
      <w:r w:rsidR="003A2D20">
        <w:rPr>
          <w:i/>
          <w:iCs/>
        </w:rPr>
        <w:t>drafted</w:t>
      </w:r>
      <w:proofErr w:type="gramEnd"/>
    </w:p>
    <w:p w14:paraId="0B0B1DE6" w14:textId="4486C3EA" w:rsidR="000D08B4" w:rsidRDefault="000D08B4" w:rsidP="001F6770">
      <w:pPr>
        <w:jc w:val="both"/>
        <w:rPr>
          <w:i/>
          <w:iCs/>
        </w:rPr>
      </w:pPr>
      <w:r>
        <w:rPr>
          <w:i/>
          <w:iCs/>
        </w:rPr>
        <w:br w:type="page"/>
      </w:r>
    </w:p>
    <w:p w14:paraId="6000A535" w14:textId="2E2E495B" w:rsidR="00701B9F" w:rsidRDefault="00AA61CB" w:rsidP="00701B9F">
      <w:pPr>
        <w:pStyle w:val="Subtitle"/>
      </w:pPr>
      <w:r>
        <w:lastRenderedPageBreak/>
        <w:t>Contents</w:t>
      </w:r>
    </w:p>
    <w:p w14:paraId="6130AC08" w14:textId="4486A004" w:rsidR="00D46F83" w:rsidRDefault="00FE02A9">
      <w:pPr>
        <w:pStyle w:val="TOC1"/>
        <w:rPr>
          <w:rFonts w:eastAsiaTheme="minorEastAsia"/>
          <w:noProof/>
          <w:kern w:val="2"/>
          <w:lang w:eastAsia="en-GB"/>
          <w14:ligatures w14:val="standardContextual"/>
        </w:rPr>
      </w:pPr>
      <w:r>
        <w:fldChar w:fldCharType="begin"/>
      </w:r>
      <w:r>
        <w:instrText xml:space="preserve"> TOC \o "1-1" \h \z \t "Heading 2,2,Heading 5,1" </w:instrText>
      </w:r>
      <w:r>
        <w:fldChar w:fldCharType="separate"/>
      </w:r>
      <w:hyperlink w:anchor="_Toc136540360" w:history="1">
        <w:r w:rsidR="00D46F83" w:rsidRPr="00284CFA">
          <w:rPr>
            <w:rStyle w:val="Hyperlink"/>
            <w:noProof/>
          </w:rPr>
          <w:t>1</w:t>
        </w:r>
        <w:r w:rsidR="00D46F83">
          <w:rPr>
            <w:rFonts w:eastAsiaTheme="minorEastAsia"/>
            <w:noProof/>
            <w:kern w:val="2"/>
            <w:lang w:eastAsia="en-GB"/>
            <w14:ligatures w14:val="standardContextual"/>
          </w:rPr>
          <w:tab/>
        </w:r>
        <w:r w:rsidR="00D46F83" w:rsidRPr="00284CFA">
          <w:rPr>
            <w:rStyle w:val="Hyperlink"/>
            <w:noProof/>
          </w:rPr>
          <w:t>Introduction</w:t>
        </w:r>
        <w:r w:rsidR="00D46F83">
          <w:rPr>
            <w:noProof/>
            <w:webHidden/>
          </w:rPr>
          <w:tab/>
        </w:r>
        <w:r w:rsidR="00D46F83">
          <w:rPr>
            <w:noProof/>
            <w:webHidden/>
          </w:rPr>
          <w:fldChar w:fldCharType="begin"/>
        </w:r>
        <w:r w:rsidR="00D46F83">
          <w:rPr>
            <w:noProof/>
            <w:webHidden/>
          </w:rPr>
          <w:instrText xml:space="preserve"> PAGEREF _Toc136540360 \h </w:instrText>
        </w:r>
        <w:r w:rsidR="00D46F83">
          <w:rPr>
            <w:noProof/>
            <w:webHidden/>
          </w:rPr>
        </w:r>
        <w:r w:rsidR="00D46F83">
          <w:rPr>
            <w:noProof/>
            <w:webHidden/>
          </w:rPr>
          <w:fldChar w:fldCharType="separate"/>
        </w:r>
        <w:r w:rsidR="00D46F83">
          <w:rPr>
            <w:noProof/>
            <w:webHidden/>
          </w:rPr>
          <w:t>5</w:t>
        </w:r>
        <w:r w:rsidR="00D46F83">
          <w:rPr>
            <w:noProof/>
            <w:webHidden/>
          </w:rPr>
          <w:fldChar w:fldCharType="end"/>
        </w:r>
      </w:hyperlink>
    </w:p>
    <w:p w14:paraId="23449500" w14:textId="26372351"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1" w:history="1">
        <w:r w:rsidR="00D46F83" w:rsidRPr="00284CFA">
          <w:rPr>
            <w:rStyle w:val="Hyperlink"/>
            <w:noProof/>
          </w:rPr>
          <w:t>1.1</w:t>
        </w:r>
        <w:r w:rsidR="00D46F83">
          <w:rPr>
            <w:rFonts w:eastAsiaTheme="minorEastAsia"/>
            <w:noProof/>
            <w:kern w:val="2"/>
            <w:lang w:eastAsia="en-GB"/>
            <w14:ligatures w14:val="standardContextual"/>
          </w:rPr>
          <w:tab/>
        </w:r>
        <w:r w:rsidR="00D46F83" w:rsidRPr="00284CFA">
          <w:rPr>
            <w:rStyle w:val="Hyperlink"/>
            <w:noProof/>
          </w:rPr>
          <w:t>Drivers for change</w:t>
        </w:r>
        <w:r w:rsidR="00D46F83">
          <w:rPr>
            <w:noProof/>
            <w:webHidden/>
          </w:rPr>
          <w:tab/>
        </w:r>
        <w:r w:rsidR="00D46F83">
          <w:rPr>
            <w:noProof/>
            <w:webHidden/>
          </w:rPr>
          <w:fldChar w:fldCharType="begin"/>
        </w:r>
        <w:r w:rsidR="00D46F83">
          <w:rPr>
            <w:noProof/>
            <w:webHidden/>
          </w:rPr>
          <w:instrText xml:space="preserve"> PAGEREF _Toc136540361 \h </w:instrText>
        </w:r>
        <w:r w:rsidR="00D46F83">
          <w:rPr>
            <w:noProof/>
            <w:webHidden/>
          </w:rPr>
        </w:r>
        <w:r w:rsidR="00D46F83">
          <w:rPr>
            <w:noProof/>
            <w:webHidden/>
          </w:rPr>
          <w:fldChar w:fldCharType="separate"/>
        </w:r>
        <w:r w:rsidR="00D46F83">
          <w:rPr>
            <w:noProof/>
            <w:webHidden/>
          </w:rPr>
          <w:t>5</w:t>
        </w:r>
        <w:r w:rsidR="00D46F83">
          <w:rPr>
            <w:noProof/>
            <w:webHidden/>
          </w:rPr>
          <w:fldChar w:fldCharType="end"/>
        </w:r>
      </w:hyperlink>
    </w:p>
    <w:p w14:paraId="1914D3F4" w14:textId="243BAE5B"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2" w:history="1">
        <w:r w:rsidR="00D46F83" w:rsidRPr="00284CFA">
          <w:rPr>
            <w:rStyle w:val="Hyperlink"/>
            <w:noProof/>
          </w:rPr>
          <w:t>1.2</w:t>
        </w:r>
        <w:r w:rsidR="00D46F83">
          <w:rPr>
            <w:rFonts w:eastAsiaTheme="minorEastAsia"/>
            <w:noProof/>
            <w:kern w:val="2"/>
            <w:lang w:eastAsia="en-GB"/>
            <w14:ligatures w14:val="standardContextual"/>
          </w:rPr>
          <w:tab/>
        </w:r>
        <w:r w:rsidR="00D46F83" w:rsidRPr="00284CFA">
          <w:rPr>
            <w:rStyle w:val="Hyperlink"/>
            <w:noProof/>
          </w:rPr>
          <w:t>Addressing competence</w:t>
        </w:r>
        <w:r w:rsidR="00D46F83">
          <w:rPr>
            <w:noProof/>
            <w:webHidden/>
          </w:rPr>
          <w:tab/>
        </w:r>
        <w:r w:rsidR="00D46F83">
          <w:rPr>
            <w:noProof/>
            <w:webHidden/>
          </w:rPr>
          <w:fldChar w:fldCharType="begin"/>
        </w:r>
        <w:r w:rsidR="00D46F83">
          <w:rPr>
            <w:noProof/>
            <w:webHidden/>
          </w:rPr>
          <w:instrText xml:space="preserve"> PAGEREF _Toc136540362 \h </w:instrText>
        </w:r>
        <w:r w:rsidR="00D46F83">
          <w:rPr>
            <w:noProof/>
            <w:webHidden/>
          </w:rPr>
        </w:r>
        <w:r w:rsidR="00D46F83">
          <w:rPr>
            <w:noProof/>
            <w:webHidden/>
          </w:rPr>
          <w:fldChar w:fldCharType="separate"/>
        </w:r>
        <w:r w:rsidR="00D46F83">
          <w:rPr>
            <w:noProof/>
            <w:webHidden/>
          </w:rPr>
          <w:t>5</w:t>
        </w:r>
        <w:r w:rsidR="00D46F83">
          <w:rPr>
            <w:noProof/>
            <w:webHidden/>
          </w:rPr>
          <w:fldChar w:fldCharType="end"/>
        </w:r>
      </w:hyperlink>
    </w:p>
    <w:p w14:paraId="4F13FEE6" w14:textId="6D3DDAC5"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3" w:history="1">
        <w:r w:rsidR="00D46F83" w:rsidRPr="00284CFA">
          <w:rPr>
            <w:rStyle w:val="Hyperlink"/>
            <w:noProof/>
          </w:rPr>
          <w:t>1.3</w:t>
        </w:r>
        <w:r w:rsidR="00D46F83">
          <w:rPr>
            <w:rFonts w:eastAsiaTheme="minorEastAsia"/>
            <w:noProof/>
            <w:kern w:val="2"/>
            <w:lang w:eastAsia="en-GB"/>
            <w14:ligatures w14:val="standardContextual"/>
          </w:rPr>
          <w:tab/>
        </w:r>
        <w:r w:rsidR="00D46F83" w:rsidRPr="00284CFA">
          <w:rPr>
            <w:rStyle w:val="Hyperlink"/>
            <w:noProof/>
          </w:rPr>
          <w:t>The criticality of firestopping</w:t>
        </w:r>
        <w:r w:rsidR="00D46F83">
          <w:rPr>
            <w:noProof/>
            <w:webHidden/>
          </w:rPr>
          <w:tab/>
        </w:r>
        <w:r w:rsidR="00D46F83">
          <w:rPr>
            <w:noProof/>
            <w:webHidden/>
          </w:rPr>
          <w:fldChar w:fldCharType="begin"/>
        </w:r>
        <w:r w:rsidR="00D46F83">
          <w:rPr>
            <w:noProof/>
            <w:webHidden/>
          </w:rPr>
          <w:instrText xml:space="preserve"> PAGEREF _Toc136540363 \h </w:instrText>
        </w:r>
        <w:r w:rsidR="00D46F83">
          <w:rPr>
            <w:noProof/>
            <w:webHidden/>
          </w:rPr>
        </w:r>
        <w:r w:rsidR="00D46F83">
          <w:rPr>
            <w:noProof/>
            <w:webHidden/>
          </w:rPr>
          <w:fldChar w:fldCharType="separate"/>
        </w:r>
        <w:r w:rsidR="00D46F83">
          <w:rPr>
            <w:noProof/>
            <w:webHidden/>
          </w:rPr>
          <w:t>6</w:t>
        </w:r>
        <w:r w:rsidR="00D46F83">
          <w:rPr>
            <w:noProof/>
            <w:webHidden/>
          </w:rPr>
          <w:fldChar w:fldCharType="end"/>
        </w:r>
      </w:hyperlink>
    </w:p>
    <w:p w14:paraId="4D268D6E" w14:textId="3B575922"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4" w:history="1">
        <w:r w:rsidR="00D46F83" w:rsidRPr="00284CFA">
          <w:rPr>
            <w:rStyle w:val="Hyperlink"/>
            <w:noProof/>
          </w:rPr>
          <w:t>1.4</w:t>
        </w:r>
        <w:r w:rsidR="00D46F83">
          <w:rPr>
            <w:rFonts w:eastAsiaTheme="minorEastAsia"/>
            <w:noProof/>
            <w:kern w:val="2"/>
            <w:lang w:eastAsia="en-GB"/>
            <w14:ligatures w14:val="standardContextual"/>
          </w:rPr>
          <w:tab/>
        </w:r>
        <w:r w:rsidR="00D46F83" w:rsidRPr="00284CFA">
          <w:rPr>
            <w:rStyle w:val="Hyperlink"/>
            <w:noProof/>
          </w:rPr>
          <w:t>The Firestopping Specialist Sector Group (FSSG)</w:t>
        </w:r>
        <w:r w:rsidR="00D46F83">
          <w:rPr>
            <w:noProof/>
            <w:webHidden/>
          </w:rPr>
          <w:tab/>
        </w:r>
        <w:r w:rsidR="00D46F83">
          <w:rPr>
            <w:noProof/>
            <w:webHidden/>
          </w:rPr>
          <w:fldChar w:fldCharType="begin"/>
        </w:r>
        <w:r w:rsidR="00D46F83">
          <w:rPr>
            <w:noProof/>
            <w:webHidden/>
          </w:rPr>
          <w:instrText xml:space="preserve"> PAGEREF _Toc136540364 \h </w:instrText>
        </w:r>
        <w:r w:rsidR="00D46F83">
          <w:rPr>
            <w:noProof/>
            <w:webHidden/>
          </w:rPr>
        </w:r>
        <w:r w:rsidR="00D46F83">
          <w:rPr>
            <w:noProof/>
            <w:webHidden/>
          </w:rPr>
          <w:fldChar w:fldCharType="separate"/>
        </w:r>
        <w:r w:rsidR="00D46F83">
          <w:rPr>
            <w:noProof/>
            <w:webHidden/>
          </w:rPr>
          <w:t>6</w:t>
        </w:r>
        <w:r w:rsidR="00D46F83">
          <w:rPr>
            <w:noProof/>
            <w:webHidden/>
          </w:rPr>
          <w:fldChar w:fldCharType="end"/>
        </w:r>
      </w:hyperlink>
    </w:p>
    <w:p w14:paraId="5B0C8090" w14:textId="1270E1B4"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5" w:history="1">
        <w:r w:rsidR="00D46F83" w:rsidRPr="00284CFA">
          <w:rPr>
            <w:rStyle w:val="Hyperlink"/>
            <w:noProof/>
          </w:rPr>
          <w:t>1.5</w:t>
        </w:r>
        <w:r w:rsidR="00D46F83">
          <w:rPr>
            <w:rFonts w:eastAsiaTheme="minorEastAsia"/>
            <w:noProof/>
            <w:kern w:val="2"/>
            <w:lang w:eastAsia="en-GB"/>
            <w14:ligatures w14:val="standardContextual"/>
          </w:rPr>
          <w:tab/>
        </w:r>
        <w:r w:rsidR="00D46F83" w:rsidRPr="00284CFA">
          <w:rPr>
            <w:rStyle w:val="Hyperlink"/>
            <w:noProof/>
          </w:rPr>
          <w:t>Organisational capability and individual competence</w:t>
        </w:r>
        <w:r w:rsidR="00D46F83">
          <w:rPr>
            <w:noProof/>
            <w:webHidden/>
          </w:rPr>
          <w:tab/>
        </w:r>
        <w:r w:rsidR="00D46F83">
          <w:rPr>
            <w:noProof/>
            <w:webHidden/>
          </w:rPr>
          <w:fldChar w:fldCharType="begin"/>
        </w:r>
        <w:r w:rsidR="00D46F83">
          <w:rPr>
            <w:noProof/>
            <w:webHidden/>
          </w:rPr>
          <w:instrText xml:space="preserve"> PAGEREF _Toc136540365 \h </w:instrText>
        </w:r>
        <w:r w:rsidR="00D46F83">
          <w:rPr>
            <w:noProof/>
            <w:webHidden/>
          </w:rPr>
        </w:r>
        <w:r w:rsidR="00D46F83">
          <w:rPr>
            <w:noProof/>
            <w:webHidden/>
          </w:rPr>
          <w:fldChar w:fldCharType="separate"/>
        </w:r>
        <w:r w:rsidR="00D46F83">
          <w:rPr>
            <w:noProof/>
            <w:webHidden/>
          </w:rPr>
          <w:t>7</w:t>
        </w:r>
        <w:r w:rsidR="00D46F83">
          <w:rPr>
            <w:noProof/>
            <w:webHidden/>
          </w:rPr>
          <w:fldChar w:fldCharType="end"/>
        </w:r>
      </w:hyperlink>
    </w:p>
    <w:p w14:paraId="09ACF8B8" w14:textId="34D750F1"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6" w:history="1">
        <w:r w:rsidR="00D46F83" w:rsidRPr="00284CFA">
          <w:rPr>
            <w:rStyle w:val="Hyperlink"/>
            <w:noProof/>
          </w:rPr>
          <w:t>1.6</w:t>
        </w:r>
        <w:r w:rsidR="00D46F83">
          <w:rPr>
            <w:rFonts w:eastAsiaTheme="minorEastAsia"/>
            <w:noProof/>
            <w:kern w:val="2"/>
            <w:lang w:eastAsia="en-GB"/>
            <w14:ligatures w14:val="standardContextual"/>
          </w:rPr>
          <w:tab/>
        </w:r>
        <w:r w:rsidR="00D46F83" w:rsidRPr="00284CFA">
          <w:rPr>
            <w:rStyle w:val="Hyperlink"/>
            <w:noProof/>
          </w:rPr>
          <w:t>The structure of this document</w:t>
        </w:r>
        <w:r w:rsidR="00D46F83">
          <w:rPr>
            <w:noProof/>
            <w:webHidden/>
          </w:rPr>
          <w:tab/>
        </w:r>
        <w:r w:rsidR="00D46F83">
          <w:rPr>
            <w:noProof/>
            <w:webHidden/>
          </w:rPr>
          <w:fldChar w:fldCharType="begin"/>
        </w:r>
        <w:r w:rsidR="00D46F83">
          <w:rPr>
            <w:noProof/>
            <w:webHidden/>
          </w:rPr>
          <w:instrText xml:space="preserve"> PAGEREF _Toc136540366 \h </w:instrText>
        </w:r>
        <w:r w:rsidR="00D46F83">
          <w:rPr>
            <w:noProof/>
            <w:webHidden/>
          </w:rPr>
        </w:r>
        <w:r w:rsidR="00D46F83">
          <w:rPr>
            <w:noProof/>
            <w:webHidden/>
          </w:rPr>
          <w:fldChar w:fldCharType="separate"/>
        </w:r>
        <w:r w:rsidR="00D46F83">
          <w:rPr>
            <w:noProof/>
            <w:webHidden/>
          </w:rPr>
          <w:t>7</w:t>
        </w:r>
        <w:r w:rsidR="00D46F83">
          <w:rPr>
            <w:noProof/>
            <w:webHidden/>
          </w:rPr>
          <w:fldChar w:fldCharType="end"/>
        </w:r>
      </w:hyperlink>
    </w:p>
    <w:p w14:paraId="4BCE6D9B" w14:textId="63337316" w:rsidR="00D46F83" w:rsidRDefault="00ED5BC4">
      <w:pPr>
        <w:pStyle w:val="TOC1"/>
        <w:rPr>
          <w:rFonts w:eastAsiaTheme="minorEastAsia"/>
          <w:noProof/>
          <w:kern w:val="2"/>
          <w:lang w:eastAsia="en-GB"/>
          <w14:ligatures w14:val="standardContextual"/>
        </w:rPr>
      </w:pPr>
      <w:hyperlink w:anchor="_Toc136540367" w:history="1">
        <w:r w:rsidR="00D46F83" w:rsidRPr="00284CFA">
          <w:rPr>
            <w:rStyle w:val="Hyperlink"/>
            <w:noProof/>
          </w:rPr>
          <w:t>2</w:t>
        </w:r>
        <w:r w:rsidR="00D46F83">
          <w:rPr>
            <w:rFonts w:eastAsiaTheme="minorEastAsia"/>
            <w:noProof/>
            <w:kern w:val="2"/>
            <w:lang w:eastAsia="en-GB"/>
            <w14:ligatures w14:val="standardContextual"/>
          </w:rPr>
          <w:tab/>
        </w:r>
        <w:r w:rsidR="00D46F83" w:rsidRPr="00284CFA">
          <w:rPr>
            <w:rStyle w:val="Hyperlink"/>
            <w:noProof/>
          </w:rPr>
          <w:t>Context</w:t>
        </w:r>
        <w:r w:rsidR="00D46F83">
          <w:rPr>
            <w:noProof/>
            <w:webHidden/>
          </w:rPr>
          <w:tab/>
        </w:r>
        <w:r w:rsidR="00D46F83">
          <w:rPr>
            <w:noProof/>
            <w:webHidden/>
          </w:rPr>
          <w:fldChar w:fldCharType="begin"/>
        </w:r>
        <w:r w:rsidR="00D46F83">
          <w:rPr>
            <w:noProof/>
            <w:webHidden/>
          </w:rPr>
          <w:instrText xml:space="preserve"> PAGEREF _Toc136540367 \h </w:instrText>
        </w:r>
        <w:r w:rsidR="00D46F83">
          <w:rPr>
            <w:noProof/>
            <w:webHidden/>
          </w:rPr>
        </w:r>
        <w:r w:rsidR="00D46F83">
          <w:rPr>
            <w:noProof/>
            <w:webHidden/>
          </w:rPr>
          <w:fldChar w:fldCharType="separate"/>
        </w:r>
        <w:r w:rsidR="00D46F83">
          <w:rPr>
            <w:noProof/>
            <w:webHidden/>
          </w:rPr>
          <w:t>8</w:t>
        </w:r>
        <w:r w:rsidR="00D46F83">
          <w:rPr>
            <w:noProof/>
            <w:webHidden/>
          </w:rPr>
          <w:fldChar w:fldCharType="end"/>
        </w:r>
      </w:hyperlink>
    </w:p>
    <w:p w14:paraId="494FA714" w14:textId="570E8B95"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8" w:history="1">
        <w:r w:rsidR="00D46F83" w:rsidRPr="00284CFA">
          <w:rPr>
            <w:rStyle w:val="Hyperlink"/>
            <w:noProof/>
          </w:rPr>
          <w:t>2.1</w:t>
        </w:r>
        <w:r w:rsidR="00D46F83">
          <w:rPr>
            <w:rFonts w:eastAsiaTheme="minorEastAsia"/>
            <w:noProof/>
            <w:kern w:val="2"/>
            <w:lang w:eastAsia="en-GB"/>
            <w14:ligatures w14:val="standardContextual"/>
          </w:rPr>
          <w:tab/>
        </w:r>
        <w:r w:rsidR="00D46F83" w:rsidRPr="00284CFA">
          <w:rPr>
            <w:rStyle w:val="Hyperlink"/>
            <w:noProof/>
          </w:rPr>
          <w:t>Purpose</w:t>
        </w:r>
        <w:r w:rsidR="00D46F83">
          <w:rPr>
            <w:noProof/>
            <w:webHidden/>
          </w:rPr>
          <w:tab/>
        </w:r>
        <w:r w:rsidR="00D46F83">
          <w:rPr>
            <w:noProof/>
            <w:webHidden/>
          </w:rPr>
          <w:fldChar w:fldCharType="begin"/>
        </w:r>
        <w:r w:rsidR="00D46F83">
          <w:rPr>
            <w:noProof/>
            <w:webHidden/>
          </w:rPr>
          <w:instrText xml:space="preserve"> PAGEREF _Toc136540368 \h </w:instrText>
        </w:r>
        <w:r w:rsidR="00D46F83">
          <w:rPr>
            <w:noProof/>
            <w:webHidden/>
          </w:rPr>
        </w:r>
        <w:r w:rsidR="00D46F83">
          <w:rPr>
            <w:noProof/>
            <w:webHidden/>
          </w:rPr>
          <w:fldChar w:fldCharType="separate"/>
        </w:r>
        <w:r w:rsidR="00D46F83">
          <w:rPr>
            <w:noProof/>
            <w:webHidden/>
          </w:rPr>
          <w:t>8</w:t>
        </w:r>
        <w:r w:rsidR="00D46F83">
          <w:rPr>
            <w:noProof/>
            <w:webHidden/>
          </w:rPr>
          <w:fldChar w:fldCharType="end"/>
        </w:r>
      </w:hyperlink>
    </w:p>
    <w:p w14:paraId="0FC986F5" w14:textId="485DC32F"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69" w:history="1">
        <w:r w:rsidR="00D46F83" w:rsidRPr="00284CFA">
          <w:rPr>
            <w:rStyle w:val="Hyperlink"/>
            <w:noProof/>
          </w:rPr>
          <w:t>2.2</w:t>
        </w:r>
        <w:r w:rsidR="00D46F83">
          <w:rPr>
            <w:rFonts w:eastAsiaTheme="minorEastAsia"/>
            <w:noProof/>
            <w:kern w:val="2"/>
            <w:lang w:eastAsia="en-GB"/>
            <w14:ligatures w14:val="standardContextual"/>
          </w:rPr>
          <w:tab/>
        </w:r>
        <w:r w:rsidR="00D46F83" w:rsidRPr="00284CFA">
          <w:rPr>
            <w:rStyle w:val="Hyperlink"/>
            <w:noProof/>
          </w:rPr>
          <w:t>Scope</w:t>
        </w:r>
        <w:r w:rsidR="00D46F83">
          <w:rPr>
            <w:noProof/>
            <w:webHidden/>
          </w:rPr>
          <w:tab/>
        </w:r>
        <w:r w:rsidR="00D46F83">
          <w:rPr>
            <w:noProof/>
            <w:webHidden/>
          </w:rPr>
          <w:fldChar w:fldCharType="begin"/>
        </w:r>
        <w:r w:rsidR="00D46F83">
          <w:rPr>
            <w:noProof/>
            <w:webHidden/>
          </w:rPr>
          <w:instrText xml:space="preserve"> PAGEREF _Toc136540369 \h </w:instrText>
        </w:r>
        <w:r w:rsidR="00D46F83">
          <w:rPr>
            <w:noProof/>
            <w:webHidden/>
          </w:rPr>
        </w:r>
        <w:r w:rsidR="00D46F83">
          <w:rPr>
            <w:noProof/>
            <w:webHidden/>
          </w:rPr>
          <w:fldChar w:fldCharType="separate"/>
        </w:r>
        <w:r w:rsidR="00D46F83">
          <w:rPr>
            <w:noProof/>
            <w:webHidden/>
          </w:rPr>
          <w:t>8</w:t>
        </w:r>
        <w:r w:rsidR="00D46F83">
          <w:rPr>
            <w:noProof/>
            <w:webHidden/>
          </w:rPr>
          <w:fldChar w:fldCharType="end"/>
        </w:r>
      </w:hyperlink>
    </w:p>
    <w:p w14:paraId="414B0C91" w14:textId="68CFAFB9"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0" w:history="1">
        <w:r w:rsidR="00D46F83" w:rsidRPr="00284CFA">
          <w:rPr>
            <w:rStyle w:val="Hyperlink"/>
            <w:noProof/>
          </w:rPr>
          <w:t>2.3</w:t>
        </w:r>
        <w:r w:rsidR="00D46F83">
          <w:rPr>
            <w:rFonts w:eastAsiaTheme="minorEastAsia"/>
            <w:noProof/>
            <w:kern w:val="2"/>
            <w:lang w:eastAsia="en-GB"/>
            <w14:ligatures w14:val="standardContextual"/>
          </w:rPr>
          <w:tab/>
        </w:r>
        <w:r w:rsidR="00D46F83" w:rsidRPr="00284CFA">
          <w:rPr>
            <w:rStyle w:val="Hyperlink"/>
            <w:noProof/>
          </w:rPr>
          <w:t>Activity based competence</w:t>
        </w:r>
        <w:r w:rsidR="00D46F83">
          <w:rPr>
            <w:noProof/>
            <w:webHidden/>
          </w:rPr>
          <w:tab/>
        </w:r>
        <w:r w:rsidR="00D46F83">
          <w:rPr>
            <w:noProof/>
            <w:webHidden/>
          </w:rPr>
          <w:fldChar w:fldCharType="begin"/>
        </w:r>
        <w:r w:rsidR="00D46F83">
          <w:rPr>
            <w:noProof/>
            <w:webHidden/>
          </w:rPr>
          <w:instrText xml:space="preserve"> PAGEREF _Toc136540370 \h </w:instrText>
        </w:r>
        <w:r w:rsidR="00D46F83">
          <w:rPr>
            <w:noProof/>
            <w:webHidden/>
          </w:rPr>
        </w:r>
        <w:r w:rsidR="00D46F83">
          <w:rPr>
            <w:noProof/>
            <w:webHidden/>
          </w:rPr>
          <w:fldChar w:fldCharType="separate"/>
        </w:r>
        <w:r w:rsidR="00D46F83">
          <w:rPr>
            <w:noProof/>
            <w:webHidden/>
          </w:rPr>
          <w:t>9</w:t>
        </w:r>
        <w:r w:rsidR="00D46F83">
          <w:rPr>
            <w:noProof/>
            <w:webHidden/>
          </w:rPr>
          <w:fldChar w:fldCharType="end"/>
        </w:r>
      </w:hyperlink>
    </w:p>
    <w:p w14:paraId="772DECEA" w14:textId="326E8BC5"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1" w:history="1">
        <w:r w:rsidR="00D46F83" w:rsidRPr="00284CFA">
          <w:rPr>
            <w:rStyle w:val="Hyperlink"/>
            <w:noProof/>
          </w:rPr>
          <w:t>2.4</w:t>
        </w:r>
        <w:r w:rsidR="00D46F83">
          <w:rPr>
            <w:rFonts w:eastAsiaTheme="minorEastAsia"/>
            <w:noProof/>
            <w:kern w:val="2"/>
            <w:lang w:eastAsia="en-GB"/>
            <w14:ligatures w14:val="standardContextual"/>
          </w:rPr>
          <w:tab/>
        </w:r>
        <w:r w:rsidR="00D46F83" w:rsidRPr="00284CFA">
          <w:rPr>
            <w:rStyle w:val="Hyperlink"/>
            <w:noProof/>
          </w:rPr>
          <w:t>Benchmarks for individual competence</w:t>
        </w:r>
        <w:r w:rsidR="00D46F83">
          <w:rPr>
            <w:noProof/>
            <w:webHidden/>
          </w:rPr>
          <w:tab/>
        </w:r>
        <w:r w:rsidR="00D46F83">
          <w:rPr>
            <w:noProof/>
            <w:webHidden/>
          </w:rPr>
          <w:fldChar w:fldCharType="begin"/>
        </w:r>
        <w:r w:rsidR="00D46F83">
          <w:rPr>
            <w:noProof/>
            <w:webHidden/>
          </w:rPr>
          <w:instrText xml:space="preserve"> PAGEREF _Toc136540371 \h </w:instrText>
        </w:r>
        <w:r w:rsidR="00D46F83">
          <w:rPr>
            <w:noProof/>
            <w:webHidden/>
          </w:rPr>
        </w:r>
        <w:r w:rsidR="00D46F83">
          <w:rPr>
            <w:noProof/>
            <w:webHidden/>
          </w:rPr>
          <w:fldChar w:fldCharType="separate"/>
        </w:r>
        <w:r w:rsidR="00D46F83">
          <w:rPr>
            <w:noProof/>
            <w:webHidden/>
          </w:rPr>
          <w:t>9</w:t>
        </w:r>
        <w:r w:rsidR="00D46F83">
          <w:rPr>
            <w:noProof/>
            <w:webHidden/>
          </w:rPr>
          <w:fldChar w:fldCharType="end"/>
        </w:r>
      </w:hyperlink>
    </w:p>
    <w:p w14:paraId="37E6CFD5" w14:textId="7F225D3F"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2" w:history="1">
        <w:r w:rsidR="00D46F83" w:rsidRPr="00284CFA">
          <w:rPr>
            <w:rStyle w:val="Hyperlink"/>
            <w:noProof/>
          </w:rPr>
          <w:t>2.5</w:t>
        </w:r>
        <w:r w:rsidR="00D46F83">
          <w:rPr>
            <w:rFonts w:eastAsiaTheme="minorEastAsia"/>
            <w:noProof/>
            <w:kern w:val="2"/>
            <w:lang w:eastAsia="en-GB"/>
            <w14:ligatures w14:val="standardContextual"/>
          </w:rPr>
          <w:tab/>
        </w:r>
        <w:r w:rsidR="00D46F83" w:rsidRPr="00284CFA">
          <w:rPr>
            <w:rStyle w:val="Hyperlink"/>
            <w:noProof/>
          </w:rPr>
          <w:t>Alignment to other passive fire protection installation activities</w:t>
        </w:r>
        <w:r w:rsidR="00D46F83">
          <w:rPr>
            <w:noProof/>
            <w:webHidden/>
          </w:rPr>
          <w:tab/>
        </w:r>
        <w:r w:rsidR="00D46F83">
          <w:rPr>
            <w:noProof/>
            <w:webHidden/>
          </w:rPr>
          <w:fldChar w:fldCharType="begin"/>
        </w:r>
        <w:r w:rsidR="00D46F83">
          <w:rPr>
            <w:noProof/>
            <w:webHidden/>
          </w:rPr>
          <w:instrText xml:space="preserve"> PAGEREF _Toc136540372 \h </w:instrText>
        </w:r>
        <w:r w:rsidR="00D46F83">
          <w:rPr>
            <w:noProof/>
            <w:webHidden/>
          </w:rPr>
        </w:r>
        <w:r w:rsidR="00D46F83">
          <w:rPr>
            <w:noProof/>
            <w:webHidden/>
          </w:rPr>
          <w:fldChar w:fldCharType="separate"/>
        </w:r>
        <w:r w:rsidR="00D46F83">
          <w:rPr>
            <w:noProof/>
            <w:webHidden/>
          </w:rPr>
          <w:t>11</w:t>
        </w:r>
        <w:r w:rsidR="00D46F83">
          <w:rPr>
            <w:noProof/>
            <w:webHidden/>
          </w:rPr>
          <w:fldChar w:fldCharType="end"/>
        </w:r>
      </w:hyperlink>
    </w:p>
    <w:p w14:paraId="2CBFFDEA" w14:textId="5313D238"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3" w:history="1">
        <w:r w:rsidR="00D46F83" w:rsidRPr="00284CFA">
          <w:rPr>
            <w:rStyle w:val="Hyperlink"/>
            <w:noProof/>
          </w:rPr>
          <w:t>2.6</w:t>
        </w:r>
        <w:r w:rsidR="00D46F83">
          <w:rPr>
            <w:rFonts w:eastAsiaTheme="minorEastAsia"/>
            <w:noProof/>
            <w:kern w:val="2"/>
            <w:lang w:eastAsia="en-GB"/>
            <w14:ligatures w14:val="standardContextual"/>
          </w:rPr>
          <w:tab/>
        </w:r>
        <w:r w:rsidR="00D46F83" w:rsidRPr="00284CFA">
          <w:rPr>
            <w:rStyle w:val="Hyperlink"/>
            <w:noProof/>
          </w:rPr>
          <w:t>Registration of competence</w:t>
        </w:r>
        <w:r w:rsidR="00D46F83">
          <w:rPr>
            <w:noProof/>
            <w:webHidden/>
          </w:rPr>
          <w:tab/>
        </w:r>
        <w:r w:rsidR="00D46F83">
          <w:rPr>
            <w:noProof/>
            <w:webHidden/>
          </w:rPr>
          <w:fldChar w:fldCharType="begin"/>
        </w:r>
        <w:r w:rsidR="00D46F83">
          <w:rPr>
            <w:noProof/>
            <w:webHidden/>
          </w:rPr>
          <w:instrText xml:space="preserve"> PAGEREF _Toc136540373 \h </w:instrText>
        </w:r>
        <w:r w:rsidR="00D46F83">
          <w:rPr>
            <w:noProof/>
            <w:webHidden/>
          </w:rPr>
        </w:r>
        <w:r w:rsidR="00D46F83">
          <w:rPr>
            <w:noProof/>
            <w:webHidden/>
          </w:rPr>
          <w:fldChar w:fldCharType="separate"/>
        </w:r>
        <w:r w:rsidR="00D46F83">
          <w:rPr>
            <w:noProof/>
            <w:webHidden/>
          </w:rPr>
          <w:t>11</w:t>
        </w:r>
        <w:r w:rsidR="00D46F83">
          <w:rPr>
            <w:noProof/>
            <w:webHidden/>
          </w:rPr>
          <w:fldChar w:fldCharType="end"/>
        </w:r>
      </w:hyperlink>
    </w:p>
    <w:p w14:paraId="5C7CC42F" w14:textId="6AFF0080" w:rsidR="00D46F83" w:rsidRDefault="00ED5BC4">
      <w:pPr>
        <w:pStyle w:val="TOC1"/>
        <w:rPr>
          <w:rFonts w:eastAsiaTheme="minorEastAsia"/>
          <w:noProof/>
          <w:kern w:val="2"/>
          <w:lang w:eastAsia="en-GB"/>
          <w14:ligatures w14:val="standardContextual"/>
        </w:rPr>
      </w:pPr>
      <w:hyperlink w:anchor="_Toc136540374" w:history="1">
        <w:r w:rsidR="00D46F83" w:rsidRPr="00284CFA">
          <w:rPr>
            <w:rStyle w:val="Hyperlink"/>
            <w:noProof/>
          </w:rPr>
          <w:t>3</w:t>
        </w:r>
        <w:r w:rsidR="00D46F83">
          <w:rPr>
            <w:rFonts w:eastAsiaTheme="minorEastAsia"/>
            <w:noProof/>
            <w:kern w:val="2"/>
            <w:lang w:eastAsia="en-GB"/>
            <w14:ligatures w14:val="standardContextual"/>
          </w:rPr>
          <w:tab/>
        </w:r>
        <w:r w:rsidR="00D46F83" w:rsidRPr="00284CFA">
          <w:rPr>
            <w:rStyle w:val="Hyperlink"/>
            <w:noProof/>
          </w:rPr>
          <w:t>Functional map and framework of competencies</w:t>
        </w:r>
        <w:r w:rsidR="00D46F83">
          <w:rPr>
            <w:noProof/>
            <w:webHidden/>
          </w:rPr>
          <w:tab/>
        </w:r>
        <w:r w:rsidR="00D46F83">
          <w:rPr>
            <w:noProof/>
            <w:webHidden/>
          </w:rPr>
          <w:fldChar w:fldCharType="begin"/>
        </w:r>
        <w:r w:rsidR="00D46F83">
          <w:rPr>
            <w:noProof/>
            <w:webHidden/>
          </w:rPr>
          <w:instrText xml:space="preserve"> PAGEREF _Toc136540374 \h </w:instrText>
        </w:r>
        <w:r w:rsidR="00D46F83">
          <w:rPr>
            <w:noProof/>
            <w:webHidden/>
          </w:rPr>
        </w:r>
        <w:r w:rsidR="00D46F83">
          <w:rPr>
            <w:noProof/>
            <w:webHidden/>
          </w:rPr>
          <w:fldChar w:fldCharType="separate"/>
        </w:r>
        <w:r w:rsidR="00D46F83">
          <w:rPr>
            <w:noProof/>
            <w:webHidden/>
          </w:rPr>
          <w:t>13</w:t>
        </w:r>
        <w:r w:rsidR="00D46F83">
          <w:rPr>
            <w:noProof/>
            <w:webHidden/>
          </w:rPr>
          <w:fldChar w:fldCharType="end"/>
        </w:r>
      </w:hyperlink>
    </w:p>
    <w:p w14:paraId="397F3889" w14:textId="56E6517D"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5" w:history="1">
        <w:r w:rsidR="00D46F83" w:rsidRPr="00284CFA">
          <w:rPr>
            <w:rStyle w:val="Hyperlink"/>
            <w:noProof/>
          </w:rPr>
          <w:t>3.1</w:t>
        </w:r>
        <w:r w:rsidR="00D46F83">
          <w:rPr>
            <w:rFonts w:eastAsiaTheme="minorEastAsia"/>
            <w:noProof/>
            <w:kern w:val="2"/>
            <w:lang w:eastAsia="en-GB"/>
            <w14:ligatures w14:val="standardContextual"/>
          </w:rPr>
          <w:tab/>
        </w:r>
        <w:r w:rsidR="00D46F83" w:rsidRPr="00284CFA">
          <w:rPr>
            <w:rStyle w:val="Hyperlink"/>
            <w:noProof/>
          </w:rPr>
          <w:t>Development background</w:t>
        </w:r>
        <w:r w:rsidR="00D46F83">
          <w:rPr>
            <w:noProof/>
            <w:webHidden/>
          </w:rPr>
          <w:tab/>
        </w:r>
        <w:r w:rsidR="00D46F83">
          <w:rPr>
            <w:noProof/>
            <w:webHidden/>
          </w:rPr>
          <w:fldChar w:fldCharType="begin"/>
        </w:r>
        <w:r w:rsidR="00D46F83">
          <w:rPr>
            <w:noProof/>
            <w:webHidden/>
          </w:rPr>
          <w:instrText xml:space="preserve"> PAGEREF _Toc136540375 \h </w:instrText>
        </w:r>
        <w:r w:rsidR="00D46F83">
          <w:rPr>
            <w:noProof/>
            <w:webHidden/>
          </w:rPr>
        </w:r>
        <w:r w:rsidR="00D46F83">
          <w:rPr>
            <w:noProof/>
            <w:webHidden/>
          </w:rPr>
          <w:fldChar w:fldCharType="separate"/>
        </w:r>
        <w:r w:rsidR="00D46F83">
          <w:rPr>
            <w:noProof/>
            <w:webHidden/>
          </w:rPr>
          <w:t>13</w:t>
        </w:r>
        <w:r w:rsidR="00D46F83">
          <w:rPr>
            <w:noProof/>
            <w:webHidden/>
          </w:rPr>
          <w:fldChar w:fldCharType="end"/>
        </w:r>
      </w:hyperlink>
    </w:p>
    <w:p w14:paraId="60A8A41A" w14:textId="3D1BD40D"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6" w:history="1">
        <w:r w:rsidR="00D46F83" w:rsidRPr="00284CFA">
          <w:rPr>
            <w:rStyle w:val="Hyperlink"/>
            <w:noProof/>
          </w:rPr>
          <w:t>3.2</w:t>
        </w:r>
        <w:r w:rsidR="00D46F83">
          <w:rPr>
            <w:rFonts w:eastAsiaTheme="minorEastAsia"/>
            <w:noProof/>
            <w:kern w:val="2"/>
            <w:lang w:eastAsia="en-GB"/>
            <w14:ligatures w14:val="standardContextual"/>
          </w:rPr>
          <w:tab/>
        </w:r>
        <w:r w:rsidR="00D46F83" w:rsidRPr="00284CFA">
          <w:rPr>
            <w:rStyle w:val="Hyperlink"/>
            <w:noProof/>
          </w:rPr>
          <w:t>The functional map and framework of competencies</w:t>
        </w:r>
        <w:r w:rsidR="00D46F83">
          <w:rPr>
            <w:noProof/>
            <w:webHidden/>
          </w:rPr>
          <w:tab/>
        </w:r>
        <w:r w:rsidR="00D46F83">
          <w:rPr>
            <w:noProof/>
            <w:webHidden/>
          </w:rPr>
          <w:fldChar w:fldCharType="begin"/>
        </w:r>
        <w:r w:rsidR="00D46F83">
          <w:rPr>
            <w:noProof/>
            <w:webHidden/>
          </w:rPr>
          <w:instrText xml:space="preserve"> PAGEREF _Toc136540376 \h </w:instrText>
        </w:r>
        <w:r w:rsidR="00D46F83">
          <w:rPr>
            <w:noProof/>
            <w:webHidden/>
          </w:rPr>
        </w:r>
        <w:r w:rsidR="00D46F83">
          <w:rPr>
            <w:noProof/>
            <w:webHidden/>
          </w:rPr>
          <w:fldChar w:fldCharType="separate"/>
        </w:r>
        <w:r w:rsidR="00D46F83">
          <w:rPr>
            <w:noProof/>
            <w:webHidden/>
          </w:rPr>
          <w:t>13</w:t>
        </w:r>
        <w:r w:rsidR="00D46F83">
          <w:rPr>
            <w:noProof/>
            <w:webHidden/>
          </w:rPr>
          <w:fldChar w:fldCharType="end"/>
        </w:r>
      </w:hyperlink>
    </w:p>
    <w:p w14:paraId="40AC6C76" w14:textId="4EFD2507"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7" w:history="1">
        <w:r w:rsidR="00D46F83" w:rsidRPr="00284CFA">
          <w:rPr>
            <w:rStyle w:val="Hyperlink"/>
            <w:noProof/>
          </w:rPr>
          <w:t>3.3</w:t>
        </w:r>
        <w:r w:rsidR="00D46F83">
          <w:rPr>
            <w:rFonts w:eastAsiaTheme="minorEastAsia"/>
            <w:noProof/>
            <w:kern w:val="2"/>
            <w:lang w:eastAsia="en-GB"/>
            <w14:ligatures w14:val="standardContextual"/>
          </w:rPr>
          <w:tab/>
        </w:r>
        <w:r w:rsidR="00D46F83" w:rsidRPr="00284CFA">
          <w:rPr>
            <w:rStyle w:val="Hyperlink"/>
            <w:noProof/>
          </w:rPr>
          <w:t>Mapping to other standards and frameworks</w:t>
        </w:r>
        <w:r w:rsidR="00D46F83">
          <w:rPr>
            <w:noProof/>
            <w:webHidden/>
          </w:rPr>
          <w:tab/>
        </w:r>
        <w:r w:rsidR="00D46F83">
          <w:rPr>
            <w:noProof/>
            <w:webHidden/>
          </w:rPr>
          <w:fldChar w:fldCharType="begin"/>
        </w:r>
        <w:r w:rsidR="00D46F83">
          <w:rPr>
            <w:noProof/>
            <w:webHidden/>
          </w:rPr>
          <w:instrText xml:space="preserve"> PAGEREF _Toc136540377 \h </w:instrText>
        </w:r>
        <w:r w:rsidR="00D46F83">
          <w:rPr>
            <w:noProof/>
            <w:webHidden/>
          </w:rPr>
        </w:r>
        <w:r w:rsidR="00D46F83">
          <w:rPr>
            <w:noProof/>
            <w:webHidden/>
          </w:rPr>
          <w:fldChar w:fldCharType="separate"/>
        </w:r>
        <w:r w:rsidR="00D46F83">
          <w:rPr>
            <w:noProof/>
            <w:webHidden/>
          </w:rPr>
          <w:t>13</w:t>
        </w:r>
        <w:r w:rsidR="00D46F83">
          <w:rPr>
            <w:noProof/>
            <w:webHidden/>
          </w:rPr>
          <w:fldChar w:fldCharType="end"/>
        </w:r>
      </w:hyperlink>
    </w:p>
    <w:p w14:paraId="31C9BDBD" w14:textId="3F0A3021" w:rsidR="00D46F83" w:rsidRDefault="00ED5BC4">
      <w:pPr>
        <w:pStyle w:val="TOC1"/>
        <w:rPr>
          <w:rFonts w:eastAsiaTheme="minorEastAsia"/>
          <w:noProof/>
          <w:kern w:val="2"/>
          <w:lang w:eastAsia="en-GB"/>
          <w14:ligatures w14:val="standardContextual"/>
        </w:rPr>
      </w:pPr>
      <w:hyperlink w:anchor="_Toc136540378" w:history="1">
        <w:r w:rsidR="00D46F83" w:rsidRPr="00284CFA">
          <w:rPr>
            <w:rStyle w:val="Hyperlink"/>
            <w:noProof/>
          </w:rPr>
          <w:t>4</w:t>
        </w:r>
        <w:r w:rsidR="00D46F83">
          <w:rPr>
            <w:rFonts w:eastAsiaTheme="minorEastAsia"/>
            <w:noProof/>
            <w:kern w:val="2"/>
            <w:lang w:eastAsia="en-GB"/>
            <w14:ligatures w14:val="standardContextual"/>
          </w:rPr>
          <w:tab/>
        </w:r>
        <w:r w:rsidR="00D46F83" w:rsidRPr="00284CFA">
          <w:rPr>
            <w:rStyle w:val="Hyperlink"/>
            <w:noProof/>
          </w:rPr>
          <w:t>The standard for competence</w:t>
        </w:r>
        <w:r w:rsidR="00D46F83">
          <w:rPr>
            <w:noProof/>
            <w:webHidden/>
          </w:rPr>
          <w:tab/>
        </w:r>
        <w:r w:rsidR="00D46F83">
          <w:rPr>
            <w:noProof/>
            <w:webHidden/>
          </w:rPr>
          <w:fldChar w:fldCharType="begin"/>
        </w:r>
        <w:r w:rsidR="00D46F83">
          <w:rPr>
            <w:noProof/>
            <w:webHidden/>
          </w:rPr>
          <w:instrText xml:space="preserve"> PAGEREF _Toc136540378 \h </w:instrText>
        </w:r>
        <w:r w:rsidR="00D46F83">
          <w:rPr>
            <w:noProof/>
            <w:webHidden/>
          </w:rPr>
        </w:r>
        <w:r w:rsidR="00D46F83">
          <w:rPr>
            <w:noProof/>
            <w:webHidden/>
          </w:rPr>
          <w:fldChar w:fldCharType="separate"/>
        </w:r>
        <w:r w:rsidR="00D46F83">
          <w:rPr>
            <w:noProof/>
            <w:webHidden/>
          </w:rPr>
          <w:t>14</w:t>
        </w:r>
        <w:r w:rsidR="00D46F83">
          <w:rPr>
            <w:noProof/>
            <w:webHidden/>
          </w:rPr>
          <w:fldChar w:fldCharType="end"/>
        </w:r>
      </w:hyperlink>
    </w:p>
    <w:p w14:paraId="2380D175" w14:textId="443EF7C2"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79" w:history="1">
        <w:r w:rsidR="00D46F83" w:rsidRPr="00284CFA">
          <w:rPr>
            <w:rStyle w:val="Hyperlink"/>
            <w:noProof/>
          </w:rPr>
          <w:t>4.1</w:t>
        </w:r>
        <w:r w:rsidR="00D46F83">
          <w:rPr>
            <w:rFonts w:eastAsiaTheme="minorEastAsia"/>
            <w:noProof/>
            <w:kern w:val="2"/>
            <w:lang w:eastAsia="en-GB"/>
            <w14:ligatures w14:val="standardContextual"/>
          </w:rPr>
          <w:tab/>
        </w:r>
        <w:r w:rsidR="00D46F83" w:rsidRPr="00284CFA">
          <w:rPr>
            <w:rStyle w:val="Hyperlink"/>
            <w:noProof/>
          </w:rPr>
          <w:t>Initial validation of competence</w:t>
        </w:r>
        <w:r w:rsidR="00D46F83">
          <w:rPr>
            <w:noProof/>
            <w:webHidden/>
          </w:rPr>
          <w:tab/>
        </w:r>
        <w:r w:rsidR="00D46F83">
          <w:rPr>
            <w:noProof/>
            <w:webHidden/>
          </w:rPr>
          <w:fldChar w:fldCharType="begin"/>
        </w:r>
        <w:r w:rsidR="00D46F83">
          <w:rPr>
            <w:noProof/>
            <w:webHidden/>
          </w:rPr>
          <w:instrText xml:space="preserve"> PAGEREF _Toc136540379 \h </w:instrText>
        </w:r>
        <w:r w:rsidR="00D46F83">
          <w:rPr>
            <w:noProof/>
            <w:webHidden/>
          </w:rPr>
        </w:r>
        <w:r w:rsidR="00D46F83">
          <w:rPr>
            <w:noProof/>
            <w:webHidden/>
          </w:rPr>
          <w:fldChar w:fldCharType="separate"/>
        </w:r>
        <w:r w:rsidR="00D46F83">
          <w:rPr>
            <w:noProof/>
            <w:webHidden/>
          </w:rPr>
          <w:t>14</w:t>
        </w:r>
        <w:r w:rsidR="00D46F83">
          <w:rPr>
            <w:noProof/>
            <w:webHidden/>
          </w:rPr>
          <w:fldChar w:fldCharType="end"/>
        </w:r>
      </w:hyperlink>
    </w:p>
    <w:p w14:paraId="1FF02828" w14:textId="4D50CE9B"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0" w:history="1">
        <w:r w:rsidR="00D46F83" w:rsidRPr="00284CFA">
          <w:rPr>
            <w:rStyle w:val="Hyperlink"/>
            <w:noProof/>
          </w:rPr>
          <w:t>4.2</w:t>
        </w:r>
        <w:r w:rsidR="00D46F83">
          <w:rPr>
            <w:rFonts w:eastAsiaTheme="minorEastAsia"/>
            <w:noProof/>
            <w:kern w:val="2"/>
            <w:lang w:eastAsia="en-GB"/>
            <w14:ligatures w14:val="standardContextual"/>
          </w:rPr>
          <w:tab/>
        </w:r>
        <w:r w:rsidR="00D46F83" w:rsidRPr="00284CFA">
          <w:rPr>
            <w:rStyle w:val="Hyperlink"/>
            <w:noProof/>
          </w:rPr>
          <w:t>Revalidation of competence</w:t>
        </w:r>
        <w:r w:rsidR="00D46F83">
          <w:rPr>
            <w:noProof/>
            <w:webHidden/>
          </w:rPr>
          <w:tab/>
        </w:r>
        <w:r w:rsidR="00D46F83">
          <w:rPr>
            <w:noProof/>
            <w:webHidden/>
          </w:rPr>
          <w:fldChar w:fldCharType="begin"/>
        </w:r>
        <w:r w:rsidR="00D46F83">
          <w:rPr>
            <w:noProof/>
            <w:webHidden/>
          </w:rPr>
          <w:instrText xml:space="preserve"> PAGEREF _Toc136540380 \h </w:instrText>
        </w:r>
        <w:r w:rsidR="00D46F83">
          <w:rPr>
            <w:noProof/>
            <w:webHidden/>
          </w:rPr>
        </w:r>
        <w:r w:rsidR="00D46F83">
          <w:rPr>
            <w:noProof/>
            <w:webHidden/>
          </w:rPr>
          <w:fldChar w:fldCharType="separate"/>
        </w:r>
        <w:r w:rsidR="00D46F83">
          <w:rPr>
            <w:noProof/>
            <w:webHidden/>
          </w:rPr>
          <w:t>14</w:t>
        </w:r>
        <w:r w:rsidR="00D46F83">
          <w:rPr>
            <w:noProof/>
            <w:webHidden/>
          </w:rPr>
          <w:fldChar w:fldCharType="end"/>
        </w:r>
      </w:hyperlink>
    </w:p>
    <w:p w14:paraId="5B415847" w14:textId="3E445461"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1" w:history="1">
        <w:r w:rsidR="00D46F83" w:rsidRPr="00284CFA">
          <w:rPr>
            <w:rStyle w:val="Hyperlink"/>
            <w:noProof/>
          </w:rPr>
          <w:t>4.3</w:t>
        </w:r>
        <w:r w:rsidR="00D46F83">
          <w:rPr>
            <w:rFonts w:eastAsiaTheme="minorEastAsia"/>
            <w:noProof/>
            <w:kern w:val="2"/>
            <w:lang w:eastAsia="en-GB"/>
            <w14:ligatures w14:val="standardContextual"/>
          </w:rPr>
          <w:tab/>
        </w:r>
        <w:r w:rsidR="00D46F83" w:rsidRPr="00284CFA">
          <w:rPr>
            <w:rStyle w:val="Hyperlink"/>
            <w:noProof/>
          </w:rPr>
          <w:t>Ability to check competence of individuals validated against the framework</w:t>
        </w:r>
        <w:r w:rsidR="00D46F83">
          <w:rPr>
            <w:noProof/>
            <w:webHidden/>
          </w:rPr>
          <w:tab/>
        </w:r>
        <w:r w:rsidR="00D46F83">
          <w:rPr>
            <w:noProof/>
            <w:webHidden/>
          </w:rPr>
          <w:fldChar w:fldCharType="begin"/>
        </w:r>
        <w:r w:rsidR="00D46F83">
          <w:rPr>
            <w:noProof/>
            <w:webHidden/>
          </w:rPr>
          <w:instrText xml:space="preserve"> PAGEREF _Toc136540381 \h </w:instrText>
        </w:r>
        <w:r w:rsidR="00D46F83">
          <w:rPr>
            <w:noProof/>
            <w:webHidden/>
          </w:rPr>
        </w:r>
        <w:r w:rsidR="00D46F83">
          <w:rPr>
            <w:noProof/>
            <w:webHidden/>
          </w:rPr>
          <w:fldChar w:fldCharType="separate"/>
        </w:r>
        <w:r w:rsidR="00D46F83">
          <w:rPr>
            <w:noProof/>
            <w:webHidden/>
          </w:rPr>
          <w:t>14</w:t>
        </w:r>
        <w:r w:rsidR="00D46F83">
          <w:rPr>
            <w:noProof/>
            <w:webHidden/>
          </w:rPr>
          <w:fldChar w:fldCharType="end"/>
        </w:r>
      </w:hyperlink>
    </w:p>
    <w:p w14:paraId="74E47C26" w14:textId="5C14B2CE"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2" w:history="1">
        <w:r w:rsidR="00D46F83" w:rsidRPr="00284CFA">
          <w:rPr>
            <w:rStyle w:val="Hyperlink"/>
            <w:noProof/>
          </w:rPr>
          <w:t>4.4</w:t>
        </w:r>
        <w:r w:rsidR="00D46F83">
          <w:rPr>
            <w:rFonts w:eastAsiaTheme="minorEastAsia"/>
            <w:noProof/>
            <w:kern w:val="2"/>
            <w:lang w:eastAsia="en-GB"/>
            <w14:ligatures w14:val="standardContextual"/>
          </w:rPr>
          <w:tab/>
        </w:r>
        <w:r w:rsidR="00D46F83" w:rsidRPr="00284CFA">
          <w:rPr>
            <w:rStyle w:val="Hyperlink"/>
            <w:noProof/>
          </w:rPr>
          <w:t>Target audiences</w:t>
        </w:r>
        <w:r w:rsidR="00D46F83">
          <w:rPr>
            <w:noProof/>
            <w:webHidden/>
          </w:rPr>
          <w:tab/>
        </w:r>
        <w:r w:rsidR="00D46F83">
          <w:rPr>
            <w:noProof/>
            <w:webHidden/>
          </w:rPr>
          <w:fldChar w:fldCharType="begin"/>
        </w:r>
        <w:r w:rsidR="00D46F83">
          <w:rPr>
            <w:noProof/>
            <w:webHidden/>
          </w:rPr>
          <w:instrText xml:space="preserve"> PAGEREF _Toc136540382 \h </w:instrText>
        </w:r>
        <w:r w:rsidR="00D46F83">
          <w:rPr>
            <w:noProof/>
            <w:webHidden/>
          </w:rPr>
        </w:r>
        <w:r w:rsidR="00D46F83">
          <w:rPr>
            <w:noProof/>
            <w:webHidden/>
          </w:rPr>
          <w:fldChar w:fldCharType="separate"/>
        </w:r>
        <w:r w:rsidR="00D46F83">
          <w:rPr>
            <w:noProof/>
            <w:webHidden/>
          </w:rPr>
          <w:t>15</w:t>
        </w:r>
        <w:r w:rsidR="00D46F83">
          <w:rPr>
            <w:noProof/>
            <w:webHidden/>
          </w:rPr>
          <w:fldChar w:fldCharType="end"/>
        </w:r>
      </w:hyperlink>
    </w:p>
    <w:p w14:paraId="7C7BAE45" w14:textId="02A7F2D8"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3" w:history="1">
        <w:r w:rsidR="00D46F83" w:rsidRPr="00284CFA">
          <w:rPr>
            <w:rStyle w:val="Hyperlink"/>
            <w:noProof/>
          </w:rPr>
          <w:t>4.5</w:t>
        </w:r>
        <w:r w:rsidR="00D46F83">
          <w:rPr>
            <w:rFonts w:eastAsiaTheme="minorEastAsia"/>
            <w:noProof/>
            <w:kern w:val="2"/>
            <w:lang w:eastAsia="en-GB"/>
            <w14:ligatures w14:val="standardContextual"/>
          </w:rPr>
          <w:tab/>
        </w:r>
        <w:r w:rsidR="00D46F83" w:rsidRPr="00284CFA">
          <w:rPr>
            <w:rStyle w:val="Hyperlink"/>
            <w:noProof/>
          </w:rPr>
          <w:t>Proposed routes to competence</w:t>
        </w:r>
        <w:r w:rsidR="00D46F83">
          <w:rPr>
            <w:noProof/>
            <w:webHidden/>
          </w:rPr>
          <w:tab/>
        </w:r>
        <w:r w:rsidR="00D46F83">
          <w:rPr>
            <w:noProof/>
            <w:webHidden/>
          </w:rPr>
          <w:fldChar w:fldCharType="begin"/>
        </w:r>
        <w:r w:rsidR="00D46F83">
          <w:rPr>
            <w:noProof/>
            <w:webHidden/>
          </w:rPr>
          <w:instrText xml:space="preserve"> PAGEREF _Toc136540383 \h </w:instrText>
        </w:r>
        <w:r w:rsidR="00D46F83">
          <w:rPr>
            <w:noProof/>
            <w:webHidden/>
          </w:rPr>
        </w:r>
        <w:r w:rsidR="00D46F83">
          <w:rPr>
            <w:noProof/>
            <w:webHidden/>
          </w:rPr>
          <w:fldChar w:fldCharType="separate"/>
        </w:r>
        <w:r w:rsidR="00D46F83">
          <w:rPr>
            <w:noProof/>
            <w:webHidden/>
          </w:rPr>
          <w:t>15</w:t>
        </w:r>
        <w:r w:rsidR="00D46F83">
          <w:rPr>
            <w:noProof/>
            <w:webHidden/>
          </w:rPr>
          <w:fldChar w:fldCharType="end"/>
        </w:r>
      </w:hyperlink>
    </w:p>
    <w:p w14:paraId="2FD97FA2" w14:textId="05257177"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4" w:history="1">
        <w:r w:rsidR="00D46F83" w:rsidRPr="00284CFA">
          <w:rPr>
            <w:rStyle w:val="Hyperlink"/>
            <w:noProof/>
          </w:rPr>
          <w:t>4.6</w:t>
        </w:r>
        <w:r w:rsidR="00D46F83">
          <w:rPr>
            <w:rFonts w:eastAsiaTheme="minorEastAsia"/>
            <w:noProof/>
            <w:kern w:val="2"/>
            <w:lang w:eastAsia="en-GB"/>
            <w14:ligatures w14:val="standardContextual"/>
          </w:rPr>
          <w:tab/>
        </w:r>
        <w:r w:rsidR="00D46F83" w:rsidRPr="00284CFA">
          <w:rPr>
            <w:rStyle w:val="Hyperlink"/>
            <w:noProof/>
          </w:rPr>
          <w:t>Relationship to organisational capability</w:t>
        </w:r>
        <w:r w:rsidR="00D46F83">
          <w:rPr>
            <w:noProof/>
            <w:webHidden/>
          </w:rPr>
          <w:tab/>
        </w:r>
        <w:r w:rsidR="00D46F83">
          <w:rPr>
            <w:noProof/>
            <w:webHidden/>
          </w:rPr>
          <w:fldChar w:fldCharType="begin"/>
        </w:r>
        <w:r w:rsidR="00D46F83">
          <w:rPr>
            <w:noProof/>
            <w:webHidden/>
          </w:rPr>
          <w:instrText xml:space="preserve"> PAGEREF _Toc136540384 \h </w:instrText>
        </w:r>
        <w:r w:rsidR="00D46F83">
          <w:rPr>
            <w:noProof/>
            <w:webHidden/>
          </w:rPr>
        </w:r>
        <w:r w:rsidR="00D46F83">
          <w:rPr>
            <w:noProof/>
            <w:webHidden/>
          </w:rPr>
          <w:fldChar w:fldCharType="separate"/>
        </w:r>
        <w:r w:rsidR="00D46F83">
          <w:rPr>
            <w:noProof/>
            <w:webHidden/>
          </w:rPr>
          <w:t>21</w:t>
        </w:r>
        <w:r w:rsidR="00D46F83">
          <w:rPr>
            <w:noProof/>
            <w:webHidden/>
          </w:rPr>
          <w:fldChar w:fldCharType="end"/>
        </w:r>
      </w:hyperlink>
    </w:p>
    <w:p w14:paraId="4602395A" w14:textId="031969D0" w:rsidR="00D46F83" w:rsidRDefault="00ED5BC4">
      <w:pPr>
        <w:pStyle w:val="TOC2"/>
        <w:tabs>
          <w:tab w:val="left" w:pos="880"/>
          <w:tab w:val="right" w:leader="dot" w:pos="9016"/>
        </w:tabs>
        <w:rPr>
          <w:rFonts w:eastAsiaTheme="minorEastAsia"/>
          <w:noProof/>
          <w:kern w:val="2"/>
          <w:lang w:eastAsia="en-GB"/>
          <w14:ligatures w14:val="standardContextual"/>
        </w:rPr>
      </w:pPr>
      <w:hyperlink w:anchor="_Toc136540385" w:history="1">
        <w:r w:rsidR="00D46F83" w:rsidRPr="00284CFA">
          <w:rPr>
            <w:rStyle w:val="Hyperlink"/>
            <w:noProof/>
          </w:rPr>
          <w:t>4.7</w:t>
        </w:r>
        <w:r w:rsidR="00D46F83">
          <w:rPr>
            <w:rFonts w:eastAsiaTheme="minorEastAsia"/>
            <w:noProof/>
            <w:kern w:val="2"/>
            <w:lang w:eastAsia="en-GB"/>
            <w14:ligatures w14:val="standardContextual"/>
          </w:rPr>
          <w:tab/>
        </w:r>
        <w:r w:rsidR="00D46F83" w:rsidRPr="00284CFA">
          <w:rPr>
            <w:rStyle w:val="Hyperlink"/>
            <w:noProof/>
          </w:rPr>
          <w:t>Ongoing monitoring and maintenance</w:t>
        </w:r>
        <w:r w:rsidR="00D46F83">
          <w:rPr>
            <w:noProof/>
            <w:webHidden/>
          </w:rPr>
          <w:tab/>
        </w:r>
        <w:r w:rsidR="00D46F83">
          <w:rPr>
            <w:noProof/>
            <w:webHidden/>
          </w:rPr>
          <w:fldChar w:fldCharType="begin"/>
        </w:r>
        <w:r w:rsidR="00D46F83">
          <w:rPr>
            <w:noProof/>
            <w:webHidden/>
          </w:rPr>
          <w:instrText xml:space="preserve"> PAGEREF _Toc136540385 \h </w:instrText>
        </w:r>
        <w:r w:rsidR="00D46F83">
          <w:rPr>
            <w:noProof/>
            <w:webHidden/>
          </w:rPr>
        </w:r>
        <w:r w:rsidR="00D46F83">
          <w:rPr>
            <w:noProof/>
            <w:webHidden/>
          </w:rPr>
          <w:fldChar w:fldCharType="separate"/>
        </w:r>
        <w:r w:rsidR="00D46F83">
          <w:rPr>
            <w:noProof/>
            <w:webHidden/>
          </w:rPr>
          <w:t>21</w:t>
        </w:r>
        <w:r w:rsidR="00D46F83">
          <w:rPr>
            <w:noProof/>
            <w:webHidden/>
          </w:rPr>
          <w:fldChar w:fldCharType="end"/>
        </w:r>
      </w:hyperlink>
    </w:p>
    <w:p w14:paraId="5E5F00D1" w14:textId="497962A0" w:rsidR="00D46F83" w:rsidRDefault="00ED5BC4">
      <w:pPr>
        <w:pStyle w:val="TOC1"/>
        <w:rPr>
          <w:rFonts w:eastAsiaTheme="minorEastAsia"/>
          <w:noProof/>
          <w:kern w:val="2"/>
          <w:lang w:eastAsia="en-GB"/>
          <w14:ligatures w14:val="standardContextual"/>
        </w:rPr>
      </w:pPr>
      <w:hyperlink w:anchor="_Toc136540386" w:history="1">
        <w:r w:rsidR="00D46F83" w:rsidRPr="00284CFA">
          <w:rPr>
            <w:rStyle w:val="Hyperlink"/>
            <w:noProof/>
          </w:rPr>
          <w:t>5</w:t>
        </w:r>
        <w:r w:rsidR="00D46F83">
          <w:rPr>
            <w:rFonts w:eastAsiaTheme="minorEastAsia"/>
            <w:noProof/>
            <w:kern w:val="2"/>
            <w:lang w:eastAsia="en-GB"/>
            <w14:ligatures w14:val="standardContextual"/>
          </w:rPr>
          <w:tab/>
        </w:r>
        <w:r w:rsidR="00D46F83" w:rsidRPr="00284CFA">
          <w:rPr>
            <w:rStyle w:val="Hyperlink"/>
            <w:noProof/>
          </w:rPr>
          <w:t>Implementing the standard</w:t>
        </w:r>
        <w:r w:rsidR="00D46F83">
          <w:rPr>
            <w:noProof/>
            <w:webHidden/>
          </w:rPr>
          <w:tab/>
        </w:r>
        <w:r w:rsidR="00D46F83">
          <w:rPr>
            <w:noProof/>
            <w:webHidden/>
          </w:rPr>
          <w:fldChar w:fldCharType="begin"/>
        </w:r>
        <w:r w:rsidR="00D46F83">
          <w:rPr>
            <w:noProof/>
            <w:webHidden/>
          </w:rPr>
          <w:instrText xml:space="preserve"> PAGEREF _Toc136540386 \h </w:instrText>
        </w:r>
        <w:r w:rsidR="00D46F83">
          <w:rPr>
            <w:noProof/>
            <w:webHidden/>
          </w:rPr>
        </w:r>
        <w:r w:rsidR="00D46F83">
          <w:rPr>
            <w:noProof/>
            <w:webHidden/>
          </w:rPr>
          <w:fldChar w:fldCharType="separate"/>
        </w:r>
        <w:r w:rsidR="00D46F83">
          <w:rPr>
            <w:noProof/>
            <w:webHidden/>
          </w:rPr>
          <w:t>22</w:t>
        </w:r>
        <w:r w:rsidR="00D46F83">
          <w:rPr>
            <w:noProof/>
            <w:webHidden/>
          </w:rPr>
          <w:fldChar w:fldCharType="end"/>
        </w:r>
      </w:hyperlink>
    </w:p>
    <w:p w14:paraId="7DAF4AEE" w14:textId="74353CE8" w:rsidR="00D46F83" w:rsidRDefault="00ED5BC4">
      <w:pPr>
        <w:pStyle w:val="TOC1"/>
        <w:rPr>
          <w:rFonts w:eastAsiaTheme="minorEastAsia"/>
          <w:noProof/>
          <w:kern w:val="2"/>
          <w:lang w:eastAsia="en-GB"/>
          <w14:ligatures w14:val="standardContextual"/>
        </w:rPr>
      </w:pPr>
      <w:hyperlink w:anchor="_Toc136540387" w:history="1">
        <w:r w:rsidR="00D46F83" w:rsidRPr="00284CFA">
          <w:rPr>
            <w:rStyle w:val="Hyperlink"/>
            <w:noProof/>
          </w:rPr>
          <w:t>Appendix 1 – Level descriptors</w:t>
        </w:r>
        <w:r w:rsidR="00D46F83">
          <w:rPr>
            <w:noProof/>
            <w:webHidden/>
          </w:rPr>
          <w:tab/>
        </w:r>
        <w:r w:rsidR="00D46F83">
          <w:rPr>
            <w:noProof/>
            <w:webHidden/>
          </w:rPr>
          <w:fldChar w:fldCharType="begin"/>
        </w:r>
        <w:r w:rsidR="00D46F83">
          <w:rPr>
            <w:noProof/>
            <w:webHidden/>
          </w:rPr>
          <w:instrText xml:space="preserve"> PAGEREF _Toc136540387 \h </w:instrText>
        </w:r>
        <w:r w:rsidR="00D46F83">
          <w:rPr>
            <w:noProof/>
            <w:webHidden/>
          </w:rPr>
        </w:r>
        <w:r w:rsidR="00D46F83">
          <w:rPr>
            <w:noProof/>
            <w:webHidden/>
          </w:rPr>
          <w:fldChar w:fldCharType="separate"/>
        </w:r>
        <w:r w:rsidR="00D46F83">
          <w:rPr>
            <w:noProof/>
            <w:webHidden/>
          </w:rPr>
          <w:t>24</w:t>
        </w:r>
        <w:r w:rsidR="00D46F83">
          <w:rPr>
            <w:noProof/>
            <w:webHidden/>
          </w:rPr>
          <w:fldChar w:fldCharType="end"/>
        </w:r>
      </w:hyperlink>
    </w:p>
    <w:p w14:paraId="48DA9A13" w14:textId="0A4971DE" w:rsidR="00D46F83" w:rsidRDefault="00ED5BC4">
      <w:pPr>
        <w:pStyle w:val="TOC1"/>
        <w:rPr>
          <w:rFonts w:eastAsiaTheme="minorEastAsia"/>
          <w:noProof/>
          <w:kern w:val="2"/>
          <w:lang w:eastAsia="en-GB"/>
          <w14:ligatures w14:val="standardContextual"/>
        </w:rPr>
      </w:pPr>
      <w:hyperlink w:anchor="_Toc136540388" w:history="1">
        <w:r w:rsidR="00D46F83" w:rsidRPr="00284CFA">
          <w:rPr>
            <w:rStyle w:val="Hyperlink"/>
            <w:noProof/>
          </w:rPr>
          <w:t>Appendix 2 – Functional map and framework of competencies</w:t>
        </w:r>
        <w:r w:rsidR="00D46F83">
          <w:rPr>
            <w:noProof/>
            <w:webHidden/>
          </w:rPr>
          <w:tab/>
        </w:r>
        <w:r w:rsidR="00D46F83">
          <w:rPr>
            <w:noProof/>
            <w:webHidden/>
          </w:rPr>
          <w:fldChar w:fldCharType="begin"/>
        </w:r>
        <w:r w:rsidR="00D46F83">
          <w:rPr>
            <w:noProof/>
            <w:webHidden/>
          </w:rPr>
          <w:instrText xml:space="preserve"> PAGEREF _Toc136540388 \h </w:instrText>
        </w:r>
        <w:r w:rsidR="00D46F83">
          <w:rPr>
            <w:noProof/>
            <w:webHidden/>
          </w:rPr>
        </w:r>
        <w:r w:rsidR="00D46F83">
          <w:rPr>
            <w:noProof/>
            <w:webHidden/>
          </w:rPr>
          <w:fldChar w:fldCharType="separate"/>
        </w:r>
        <w:r w:rsidR="00D46F83">
          <w:rPr>
            <w:noProof/>
            <w:webHidden/>
          </w:rPr>
          <w:t>25</w:t>
        </w:r>
        <w:r w:rsidR="00D46F83">
          <w:rPr>
            <w:noProof/>
            <w:webHidden/>
          </w:rPr>
          <w:fldChar w:fldCharType="end"/>
        </w:r>
      </w:hyperlink>
    </w:p>
    <w:p w14:paraId="0555B06F" w14:textId="46D9F428" w:rsidR="00D46F83" w:rsidRDefault="00ED5BC4">
      <w:pPr>
        <w:pStyle w:val="TOC1"/>
        <w:rPr>
          <w:rFonts w:eastAsiaTheme="minorEastAsia"/>
          <w:noProof/>
          <w:kern w:val="2"/>
          <w:lang w:eastAsia="en-GB"/>
          <w14:ligatures w14:val="standardContextual"/>
        </w:rPr>
      </w:pPr>
      <w:hyperlink w:anchor="_Toc136540389" w:history="1">
        <w:r w:rsidR="00D46F83" w:rsidRPr="00284CFA">
          <w:rPr>
            <w:rStyle w:val="Hyperlink"/>
            <w:noProof/>
          </w:rPr>
          <w:t>Appendix 3 – Mapping</w:t>
        </w:r>
        <w:r w:rsidR="00D46F83">
          <w:rPr>
            <w:noProof/>
            <w:webHidden/>
          </w:rPr>
          <w:tab/>
        </w:r>
        <w:r w:rsidR="00D46F83">
          <w:rPr>
            <w:noProof/>
            <w:webHidden/>
          </w:rPr>
          <w:fldChar w:fldCharType="begin"/>
        </w:r>
        <w:r w:rsidR="00D46F83">
          <w:rPr>
            <w:noProof/>
            <w:webHidden/>
          </w:rPr>
          <w:instrText xml:space="preserve"> PAGEREF _Toc136540389 \h </w:instrText>
        </w:r>
        <w:r w:rsidR="00D46F83">
          <w:rPr>
            <w:noProof/>
            <w:webHidden/>
          </w:rPr>
        </w:r>
        <w:r w:rsidR="00D46F83">
          <w:rPr>
            <w:noProof/>
            <w:webHidden/>
          </w:rPr>
          <w:fldChar w:fldCharType="separate"/>
        </w:r>
        <w:r w:rsidR="00D46F83">
          <w:rPr>
            <w:noProof/>
            <w:webHidden/>
          </w:rPr>
          <w:t>26</w:t>
        </w:r>
        <w:r w:rsidR="00D46F83">
          <w:rPr>
            <w:noProof/>
            <w:webHidden/>
          </w:rPr>
          <w:fldChar w:fldCharType="end"/>
        </w:r>
      </w:hyperlink>
    </w:p>
    <w:p w14:paraId="435E4A85" w14:textId="4B40FF32" w:rsidR="00D46F83" w:rsidRDefault="00ED5BC4">
      <w:pPr>
        <w:pStyle w:val="TOC1"/>
        <w:rPr>
          <w:rFonts w:eastAsiaTheme="minorEastAsia"/>
          <w:noProof/>
          <w:kern w:val="2"/>
          <w:lang w:eastAsia="en-GB"/>
          <w14:ligatures w14:val="standardContextual"/>
        </w:rPr>
      </w:pPr>
      <w:hyperlink w:anchor="_Toc136540390" w:history="1">
        <w:r w:rsidR="00D46F83" w:rsidRPr="00284CFA">
          <w:rPr>
            <w:rStyle w:val="Hyperlink"/>
            <w:noProof/>
          </w:rPr>
          <w:t>Appendix 4 – Terms &amp; definitions</w:t>
        </w:r>
        <w:r w:rsidR="00D46F83">
          <w:rPr>
            <w:noProof/>
            <w:webHidden/>
          </w:rPr>
          <w:tab/>
        </w:r>
        <w:r w:rsidR="00D46F83">
          <w:rPr>
            <w:noProof/>
            <w:webHidden/>
          </w:rPr>
          <w:fldChar w:fldCharType="begin"/>
        </w:r>
        <w:r w:rsidR="00D46F83">
          <w:rPr>
            <w:noProof/>
            <w:webHidden/>
          </w:rPr>
          <w:instrText xml:space="preserve"> PAGEREF _Toc136540390 \h </w:instrText>
        </w:r>
        <w:r w:rsidR="00D46F83">
          <w:rPr>
            <w:noProof/>
            <w:webHidden/>
          </w:rPr>
        </w:r>
        <w:r w:rsidR="00D46F83">
          <w:rPr>
            <w:noProof/>
            <w:webHidden/>
          </w:rPr>
          <w:fldChar w:fldCharType="separate"/>
        </w:r>
        <w:r w:rsidR="00D46F83">
          <w:rPr>
            <w:noProof/>
            <w:webHidden/>
          </w:rPr>
          <w:t>27</w:t>
        </w:r>
        <w:r w:rsidR="00D46F83">
          <w:rPr>
            <w:noProof/>
            <w:webHidden/>
          </w:rPr>
          <w:fldChar w:fldCharType="end"/>
        </w:r>
      </w:hyperlink>
    </w:p>
    <w:p w14:paraId="453DD6D7" w14:textId="135DB300" w:rsidR="007B7BF8" w:rsidRDefault="00FE02A9" w:rsidP="00AA61CB">
      <w:r>
        <w:fldChar w:fldCharType="end"/>
      </w:r>
    </w:p>
    <w:p w14:paraId="195D5B30" w14:textId="77777777" w:rsidR="005E005A" w:rsidRDefault="005E005A" w:rsidP="001A2913">
      <w:pPr>
        <w:pStyle w:val="Disclaimer"/>
      </w:pPr>
      <w:r>
        <w:br w:type="page"/>
      </w:r>
    </w:p>
    <w:p w14:paraId="6875304A" w14:textId="59688258" w:rsidR="007B7BF8" w:rsidRPr="00F03B51" w:rsidRDefault="007B7BF8" w:rsidP="001A2913">
      <w:pPr>
        <w:pStyle w:val="Disclaimer"/>
      </w:pPr>
      <w:r w:rsidRPr="00F03B51">
        <w:lastRenderedPageBreak/>
        <w:t>This document has been prepared in good faith, however no representation, warranty, assurance or undertaking (express or implied) is or will be made, and no responsibility or liability is or will be accepted by FSSG or its component mem</w:t>
      </w:r>
      <w:r>
        <w:t>b</w:t>
      </w:r>
      <w:r w:rsidRPr="00F03B51">
        <w:t xml:space="preserve">ers, in relation to the adequacy, accuracy, completeness or reasonableness of its contents. All and any such responsibility and liability </w:t>
      </w:r>
      <w:proofErr w:type="gramStart"/>
      <w:r w:rsidRPr="00F03B51">
        <w:t>is</w:t>
      </w:r>
      <w:proofErr w:type="gramEnd"/>
      <w:r w:rsidRPr="00F03B51">
        <w:t xml:space="preserve"> expressly disclaimed to the full extent permitted by the law.</w:t>
      </w:r>
    </w:p>
    <w:p w14:paraId="72CA77DF" w14:textId="77777777" w:rsidR="007B7BF8" w:rsidRPr="00F03B51" w:rsidRDefault="007B7BF8" w:rsidP="001A2913">
      <w:pPr>
        <w:pStyle w:val="Disclaimer"/>
      </w:pPr>
      <w:r w:rsidRPr="00F03B51">
        <w:t>This document is provided as is and is to be used at the recipient</w:t>
      </w:r>
      <w:r>
        <w:t>’</w:t>
      </w:r>
      <w:r w:rsidRPr="00F03B51">
        <w:t>s own risk.</w:t>
      </w:r>
    </w:p>
    <w:p w14:paraId="5C65A2EA" w14:textId="77777777" w:rsidR="007B7BF8" w:rsidRPr="00F03B51" w:rsidRDefault="007B7BF8" w:rsidP="001A2913">
      <w:pPr>
        <w:pStyle w:val="Disclaimer"/>
      </w:pPr>
      <w:r w:rsidRPr="00F03B51">
        <w:t>The recipient is advised to consider seeking professional guidance with respect to its use of this document and its associated supporting information.</w:t>
      </w:r>
    </w:p>
    <w:p w14:paraId="4227E36B" w14:textId="77777777" w:rsidR="007B7BF8" w:rsidRPr="00F03B51" w:rsidRDefault="007B7BF8" w:rsidP="001A2913">
      <w:pPr>
        <w:pStyle w:val="Disclaimer"/>
      </w:pPr>
      <w:r w:rsidRPr="00F03B51">
        <w:t>This document is not intended to constitute a contract. Users are responsible for its correct application.</w:t>
      </w:r>
    </w:p>
    <w:p w14:paraId="5586361E" w14:textId="2B388F57" w:rsidR="007B7BF8" w:rsidRDefault="007B7BF8" w:rsidP="001A2913">
      <w:pPr>
        <w:pStyle w:val="Disclaimer"/>
      </w:pPr>
      <w:r w:rsidRPr="00F03B51">
        <w:t>Compliance with this document cannot confer immunity from legal obligations</w:t>
      </w:r>
      <w:r w:rsidR="004B2CF1">
        <w:t>.</w:t>
      </w:r>
    </w:p>
    <w:p w14:paraId="418D11A4" w14:textId="77777777" w:rsidR="007B7BF8" w:rsidRDefault="007B7BF8" w:rsidP="00AA61CB"/>
    <w:p w14:paraId="7CFE5258" w14:textId="5F4B1F67" w:rsidR="00B6648B" w:rsidRPr="00A374BD" w:rsidRDefault="00B6648B" w:rsidP="00A374BD">
      <w:pPr>
        <w:pStyle w:val="Heading1"/>
      </w:pPr>
      <w:bookmarkStart w:id="0" w:name="_Toc136540360"/>
      <w:r w:rsidRPr="00A374BD">
        <w:lastRenderedPageBreak/>
        <w:t>Introduction</w:t>
      </w:r>
      <w:bookmarkEnd w:id="0"/>
    </w:p>
    <w:p w14:paraId="096D5FB5" w14:textId="7F9B26C3" w:rsidR="00AE591D" w:rsidRPr="0086442E" w:rsidRDefault="00C5486F" w:rsidP="00A374BD">
      <w:pPr>
        <w:pStyle w:val="Heading2"/>
      </w:pPr>
      <w:bookmarkStart w:id="1" w:name="_Toc136540361"/>
      <w:r w:rsidRPr="0086442E">
        <w:t>Drivers for change</w:t>
      </w:r>
      <w:bookmarkEnd w:id="1"/>
    </w:p>
    <w:p w14:paraId="2D09D21D" w14:textId="77777777" w:rsidR="00032E34" w:rsidRPr="00AA3E58" w:rsidRDefault="001C59B9" w:rsidP="00871BDD">
      <w:pPr>
        <w:pStyle w:val="BodyText1"/>
      </w:pPr>
      <w:r w:rsidRPr="00AA3E58">
        <w:t>In 2017, t</w:t>
      </w:r>
      <w:r w:rsidR="00426D4F" w:rsidRPr="00AA3E58">
        <w:t xml:space="preserve">he </w:t>
      </w:r>
      <w:r w:rsidR="00402E9F" w:rsidRPr="00AA3E58">
        <w:t>Grenfell Tower fire created shockwaves throughout the built environment sector</w:t>
      </w:r>
      <w:r w:rsidR="00286297" w:rsidRPr="00AA3E58">
        <w:t xml:space="preserve"> and generated a great deal of focus on deficiencies in both construction practices and the </w:t>
      </w:r>
      <w:r w:rsidR="00160653" w:rsidRPr="00AA3E58">
        <w:t xml:space="preserve">capability of the construction workforce. </w:t>
      </w:r>
    </w:p>
    <w:p w14:paraId="5E815DF4" w14:textId="78D3BD80" w:rsidR="0007735E" w:rsidRPr="00AA3E58" w:rsidRDefault="007200AC" w:rsidP="00871BDD">
      <w:pPr>
        <w:pStyle w:val="BodyText1"/>
      </w:pPr>
      <w:r w:rsidRPr="00AA3E58">
        <w:t xml:space="preserve">It was recognised in the </w:t>
      </w:r>
      <w:r w:rsidR="00804B8A" w:rsidRPr="00AA3E58">
        <w:t>report of Dame Judith Hackitt, ‘Building a Safer Future: Independent Review of Building Regulations and Fire Safety</w:t>
      </w:r>
      <w:r w:rsidR="004801D7" w:rsidRPr="00AA3E58">
        <w:t>’</w:t>
      </w:r>
      <w:r w:rsidR="004801D7" w:rsidRPr="00DB255E">
        <w:rPr>
          <w:rStyle w:val="FootnoteReference"/>
        </w:rPr>
        <w:footnoteReference w:id="2"/>
      </w:r>
      <w:r w:rsidR="00032E34" w:rsidRPr="00AA3E58">
        <w:t xml:space="preserve"> </w:t>
      </w:r>
      <w:r w:rsidR="004801D7" w:rsidRPr="00AA3E58">
        <w:t>(also known as the Hackitt Report)</w:t>
      </w:r>
      <w:r w:rsidR="007C7EE4" w:rsidRPr="00AA3E58">
        <w:t xml:space="preserve"> that a simple, more effective regulatory framework would be required to deliver change</w:t>
      </w:r>
      <w:r w:rsidR="001D31F6" w:rsidRPr="00AA3E58">
        <w:t xml:space="preserve">. This included moving to an ‘outcomes-based’ model, rather than a </w:t>
      </w:r>
      <w:r w:rsidR="00B313C3" w:rsidRPr="00AA3E58">
        <w:t>prescriptive rules</w:t>
      </w:r>
      <w:r w:rsidR="0086442E" w:rsidRPr="00AA3E58">
        <w:t>-</w:t>
      </w:r>
      <w:r w:rsidR="00B313C3" w:rsidRPr="00AA3E58">
        <w:t xml:space="preserve">based model based on complex and detailed guidance. </w:t>
      </w:r>
      <w:r w:rsidR="00B14FEB" w:rsidRPr="00AA3E58">
        <w:t>To achieve this, competent people who</w:t>
      </w:r>
      <w:r w:rsidR="001B4047" w:rsidRPr="00AA3E58">
        <w:t xml:space="preserve"> </w:t>
      </w:r>
      <w:r w:rsidR="00B14FEB" w:rsidRPr="00AA3E58">
        <w:t xml:space="preserve">are capable of understanding their responsibilities for safety </w:t>
      </w:r>
      <w:r w:rsidR="00E21A47">
        <w:t>&amp;</w:t>
      </w:r>
      <w:r w:rsidR="00B14FEB" w:rsidRPr="00AA3E58">
        <w:t xml:space="preserve"> integrity and thinking for themselves are required.</w:t>
      </w:r>
    </w:p>
    <w:p w14:paraId="01D5F4DB" w14:textId="0DAC93CB" w:rsidR="00B14FEB" w:rsidRPr="00AA3E58" w:rsidRDefault="00185CC4" w:rsidP="00871BDD">
      <w:pPr>
        <w:pStyle w:val="BodyText1"/>
      </w:pPr>
      <w:r w:rsidRPr="00AA3E58">
        <w:t xml:space="preserve">Since the publication of that report </w:t>
      </w:r>
      <w:r w:rsidR="00D61E76" w:rsidRPr="00AA3E58">
        <w:t xml:space="preserve">the Government </w:t>
      </w:r>
      <w:r w:rsidR="00A573D3" w:rsidRPr="00AA3E58">
        <w:t>introduced</w:t>
      </w:r>
      <w:r w:rsidR="00D61E76" w:rsidRPr="00AA3E58">
        <w:t xml:space="preserve"> and continues to implement regulatory changes</w:t>
      </w:r>
      <w:r w:rsidR="005D03A4" w:rsidRPr="00AA3E58">
        <w:t xml:space="preserve">, not least of which are </w:t>
      </w:r>
      <w:r w:rsidR="001C2314">
        <w:t>updates</w:t>
      </w:r>
      <w:r w:rsidR="005D03A4" w:rsidRPr="00AA3E58">
        <w:t xml:space="preserve"> to fire safety legislation and the introduction of the Building Safety Act. This legislation enshrines the need for a competent workforce within i</w:t>
      </w:r>
      <w:r w:rsidR="00DF65BF" w:rsidRPr="00AA3E58">
        <w:t>t</w:t>
      </w:r>
      <w:r w:rsidR="00A6240A">
        <w:t xml:space="preserve"> </w:t>
      </w:r>
      <w:r w:rsidR="00DF65BF" w:rsidRPr="00AA3E58">
        <w:t xml:space="preserve">and introduces the Building Safety Regulator to promote </w:t>
      </w:r>
      <w:r w:rsidR="00FE3A83" w:rsidRPr="00AA3E58">
        <w:t xml:space="preserve">individual competence and organisational capability. </w:t>
      </w:r>
    </w:p>
    <w:p w14:paraId="12FA3A29" w14:textId="547814C2" w:rsidR="00FE3A83" w:rsidRDefault="00FE3A83" w:rsidP="00AA3E58">
      <w:pPr>
        <w:pStyle w:val="Heading2"/>
      </w:pPr>
      <w:bookmarkStart w:id="2" w:name="_Toc136540362"/>
      <w:r>
        <w:t>Addressing competence</w:t>
      </w:r>
      <w:bookmarkEnd w:id="2"/>
    </w:p>
    <w:p w14:paraId="6BF074BE" w14:textId="4FD6C7F6" w:rsidR="001B07AD" w:rsidRDefault="00B25416" w:rsidP="001B07AD">
      <w:pPr>
        <w:pStyle w:val="BodyText1"/>
      </w:pPr>
      <w:r>
        <w:t>The Competence Steering Group (CSG)</w:t>
      </w:r>
      <w:r w:rsidR="001C59B9">
        <w:t xml:space="preserve"> was set up </w:t>
      </w:r>
      <w:r w:rsidR="00B306A0">
        <w:t>in 2018 following publication of the Hackitt Report</w:t>
      </w:r>
      <w:r w:rsidR="00ED1358">
        <w:t>, with a key focus on improving the competence of those working in the construction and fire sectors.</w:t>
      </w:r>
      <w:r w:rsidR="00224D49">
        <w:t xml:space="preserve"> </w:t>
      </w:r>
      <w:r w:rsidR="000300FC">
        <w:t>It</w:t>
      </w:r>
      <w:r w:rsidR="001B07AD">
        <w:t xml:space="preserve"> identified two key aspects of providing assurance of competence at a sector level: organisational capability and individual competence. These aspects need to be addressed in different ways in order to ensure that competent people are in place within organisations which are capable of operating safely and effectively.</w:t>
      </w:r>
    </w:p>
    <w:p w14:paraId="185F39C1" w14:textId="10C6B496" w:rsidR="00C51661" w:rsidRDefault="00C51661" w:rsidP="001B07AD">
      <w:pPr>
        <w:pStyle w:val="BodyText1"/>
      </w:pPr>
      <w:r>
        <w:t>Amongst other outputs, CSG drove the development of standards and guidance materials for competence frameworks in the built environment</w:t>
      </w:r>
      <w:r w:rsidR="00003FFF">
        <w:t xml:space="preserve">. This includes BSI Flex 8670, a </w:t>
      </w:r>
      <w:r w:rsidR="001E0F54">
        <w:t>code of practice for the development of competence frameworks for the built environment</w:t>
      </w:r>
      <w:r w:rsidR="001E0F54">
        <w:rPr>
          <w:rStyle w:val="FootnoteReference"/>
        </w:rPr>
        <w:footnoteReference w:id="3"/>
      </w:r>
      <w:r w:rsidR="001E0F54">
        <w:t>.</w:t>
      </w:r>
    </w:p>
    <w:p w14:paraId="5F3E37A8" w14:textId="5055BA97" w:rsidR="0007735E" w:rsidRDefault="001B07AD" w:rsidP="00871BDD">
      <w:pPr>
        <w:pStyle w:val="BodyText1"/>
      </w:pPr>
      <w:r>
        <w:t>CSG</w:t>
      </w:r>
      <w:r w:rsidR="00224D49">
        <w:t xml:space="preserve"> established 12 working groups</w:t>
      </w:r>
      <w:r w:rsidR="00512A04">
        <w:t>, each focussing on developing approaches to competence for specialisms</w:t>
      </w:r>
      <w:r w:rsidR="00903976">
        <w:t xml:space="preserve"> within the built environment sector.</w:t>
      </w:r>
      <w:r w:rsidR="00B73786">
        <w:t xml:space="preserve"> </w:t>
      </w:r>
      <w:r w:rsidR="00A14FF2">
        <w:t xml:space="preserve">Working group 2 (WG2) was </w:t>
      </w:r>
      <w:r w:rsidR="00965021">
        <w:t xml:space="preserve">initially </w:t>
      </w:r>
      <w:r w:rsidR="00A14FF2">
        <w:t xml:space="preserve">formed to specifically address the </w:t>
      </w:r>
      <w:r w:rsidR="00D76701">
        <w:t xml:space="preserve">competence of </w:t>
      </w:r>
      <w:r w:rsidR="00BD15AA">
        <w:t>individuals</w:t>
      </w:r>
      <w:r w:rsidR="00D76701">
        <w:t xml:space="preserve"> installing fire safety systems</w:t>
      </w:r>
      <w:r w:rsidR="00965021">
        <w:t xml:space="preserve"> and </w:t>
      </w:r>
      <w:r w:rsidR="00B73786">
        <w:t xml:space="preserve">was </w:t>
      </w:r>
      <w:r w:rsidR="00965021">
        <w:t>subsequently extended to cover all installers working in construction and the built environment</w:t>
      </w:r>
      <w:r w:rsidR="00F0194D">
        <w:t>.</w:t>
      </w:r>
    </w:p>
    <w:p w14:paraId="242A15C4" w14:textId="788C0B7A" w:rsidR="007200AC" w:rsidRDefault="00CE7FAB" w:rsidP="00871BDD">
      <w:pPr>
        <w:pStyle w:val="BodyText1"/>
      </w:pPr>
      <w:r>
        <w:t xml:space="preserve">WG2 identified </w:t>
      </w:r>
      <w:r w:rsidR="00636250">
        <w:t xml:space="preserve">six </w:t>
      </w:r>
      <w:r>
        <w:t xml:space="preserve">priority occupation groups to act as pilots for development of individual installer </w:t>
      </w:r>
      <w:r w:rsidRPr="007A6331">
        <w:t>competence frameworks</w:t>
      </w:r>
      <w:r w:rsidR="004A050D">
        <w:t xml:space="preserve"> and an initial report was produced outlining existing competence arrangements</w:t>
      </w:r>
      <w:r w:rsidR="000842F6">
        <w:rPr>
          <w:rStyle w:val="FootnoteReference"/>
        </w:rPr>
        <w:footnoteReference w:id="4"/>
      </w:r>
      <w:r w:rsidR="0019125D">
        <w:t xml:space="preserve">. </w:t>
      </w:r>
      <w:r w:rsidR="00713DA7">
        <w:t>Within this, Specialist Firestopping Installers were identified as a priority for development</w:t>
      </w:r>
      <w:r w:rsidR="004A050D">
        <w:t>.</w:t>
      </w:r>
    </w:p>
    <w:p w14:paraId="36822E0F" w14:textId="62402AFF" w:rsidR="007260A9" w:rsidRDefault="007260A9" w:rsidP="007260A9">
      <w:pPr>
        <w:pStyle w:val="Heading2"/>
      </w:pPr>
      <w:bookmarkStart w:id="3" w:name="_Toc136540363"/>
      <w:r>
        <w:lastRenderedPageBreak/>
        <w:t xml:space="preserve">The criticality of </w:t>
      </w:r>
      <w:bookmarkEnd w:id="3"/>
      <w:r w:rsidR="00ED5BC4" w:rsidRPr="00ED5BC4">
        <w:rPr>
          <w:highlight w:val="yellow"/>
        </w:rPr>
        <w:t>sector</w:t>
      </w:r>
    </w:p>
    <w:p w14:paraId="3506842A" w14:textId="0015F9D9" w:rsidR="007260A9" w:rsidRPr="00ED5BC4" w:rsidRDefault="00ED5BC4" w:rsidP="00871BDD">
      <w:pPr>
        <w:pStyle w:val="BodyText1"/>
        <w:rPr>
          <w:i/>
          <w:iCs/>
        </w:rPr>
      </w:pPr>
      <w:r w:rsidRPr="00ED5BC4">
        <w:rPr>
          <w:i/>
          <w:iCs/>
        </w:rPr>
        <w:t xml:space="preserve">Insert </w:t>
      </w:r>
      <w:proofErr w:type="gramStart"/>
      <w:r w:rsidRPr="00ED5BC4">
        <w:rPr>
          <w:i/>
          <w:iCs/>
        </w:rPr>
        <w:t>text</w:t>
      </w:r>
      <w:proofErr w:type="gramEnd"/>
    </w:p>
    <w:p w14:paraId="63050F53" w14:textId="62749544" w:rsidR="005F369C" w:rsidRPr="00ED5BC4" w:rsidRDefault="00ED5BC4" w:rsidP="001F6770">
      <w:pPr>
        <w:pStyle w:val="Heading2"/>
        <w:jc w:val="both"/>
        <w:rPr>
          <w:highlight w:val="yellow"/>
        </w:rPr>
      </w:pPr>
      <w:r w:rsidRPr="00ED5BC4">
        <w:rPr>
          <w:highlight w:val="yellow"/>
        </w:rPr>
        <w:t>The Sector Group</w:t>
      </w:r>
    </w:p>
    <w:p w14:paraId="01AAE155" w14:textId="77777777" w:rsidR="00ED5BC4" w:rsidRDefault="00ED5BC4" w:rsidP="00ED5BC4">
      <w:pPr>
        <w:pStyle w:val="BodyText1"/>
      </w:pPr>
      <w:r>
        <w:t>Add details of the group, how it aligns with k</w:t>
      </w:r>
      <w:r w:rsidR="005F369C">
        <w:t>ey principles</w:t>
      </w:r>
      <w:r w:rsidR="005F369C">
        <w:rPr>
          <w:rStyle w:val="FootnoteReference"/>
        </w:rPr>
        <w:footnoteReference w:id="5"/>
      </w:r>
      <w:r>
        <w:t xml:space="preserve">, names of participating organisations </w:t>
      </w:r>
      <w:bookmarkStart w:id="4" w:name="_Toc136540365"/>
      <w:r>
        <w:t xml:space="preserve">and special thanks.  </w:t>
      </w:r>
    </w:p>
    <w:p w14:paraId="311EB85B" w14:textId="3553E8C8" w:rsidR="00A15B5B" w:rsidRDefault="00A15B5B" w:rsidP="00A15B5B">
      <w:pPr>
        <w:pStyle w:val="Heading2"/>
      </w:pPr>
      <w:bookmarkStart w:id="5" w:name="_Toc136540366"/>
      <w:bookmarkEnd w:id="4"/>
      <w:r>
        <w:t>The structure of this document</w:t>
      </w:r>
      <w:bookmarkEnd w:id="5"/>
    </w:p>
    <w:p w14:paraId="2F693CF8" w14:textId="79316BA7" w:rsidR="00326A8A" w:rsidRPr="001262DF" w:rsidRDefault="00E17F44" w:rsidP="001262DF">
      <w:pPr>
        <w:pStyle w:val="BodyText1"/>
      </w:pPr>
      <w:r w:rsidRPr="001262DF">
        <w:t xml:space="preserve">This document has been created to set out </w:t>
      </w:r>
      <w:r w:rsidR="008044B4" w:rsidRPr="001262DF">
        <w:t xml:space="preserve">an intended ‘future state’ </w:t>
      </w:r>
      <w:r w:rsidR="008044B4" w:rsidRPr="004B798A">
        <w:t xml:space="preserve">for </w:t>
      </w:r>
      <w:r w:rsidR="00B17A65">
        <w:t xml:space="preserve">individual </w:t>
      </w:r>
      <w:r w:rsidR="008044B4" w:rsidRPr="004B798A">
        <w:t>competence for firestopping</w:t>
      </w:r>
      <w:r w:rsidR="008044B4" w:rsidRPr="001262DF">
        <w:t xml:space="preserve"> specialists. </w:t>
      </w:r>
      <w:r w:rsidR="00532CF2" w:rsidRPr="001262DF">
        <w:t xml:space="preserve">It sets out activity-based definitions for competence in activities related to firestopping, and approaches to </w:t>
      </w:r>
      <w:r w:rsidR="003D7ED8" w:rsidRPr="001262DF">
        <w:t xml:space="preserve">initial validation and revalidation of competence, along with a </w:t>
      </w:r>
      <w:r w:rsidR="009E3F8B" w:rsidRPr="001262DF">
        <w:t xml:space="preserve">high-level plan to close the gap between the arrangements in place today and that </w:t>
      </w:r>
      <w:r w:rsidR="00B6275C" w:rsidRPr="001262DF">
        <w:t>future state.</w:t>
      </w:r>
      <w:r w:rsidR="00532CF2" w:rsidRPr="001262DF">
        <w:t xml:space="preserve"> </w:t>
      </w:r>
      <w:r w:rsidR="00326A8A" w:rsidRPr="001262DF">
        <w:t xml:space="preserve">This </w:t>
      </w:r>
      <w:r w:rsidR="00B6275C" w:rsidRPr="001262DF">
        <w:t>is set out in</w:t>
      </w:r>
      <w:r w:rsidR="00326A8A" w:rsidRPr="001262DF">
        <w:t xml:space="preserve"> four sections:</w:t>
      </w:r>
    </w:p>
    <w:p w14:paraId="0ADEA0A0" w14:textId="3E646D7E" w:rsidR="00326A8A" w:rsidRPr="00326A8A" w:rsidRDefault="00326A8A" w:rsidP="006F1733">
      <w:pPr>
        <w:pStyle w:val="ListParagraph"/>
        <w:numPr>
          <w:ilvl w:val="0"/>
          <w:numId w:val="24"/>
        </w:numPr>
        <w:spacing w:after="0"/>
        <w:ind w:left="1077" w:hanging="357"/>
        <w:rPr>
          <w:b/>
          <w:bCs/>
          <w:i/>
          <w:iCs/>
        </w:rPr>
      </w:pPr>
      <w:r w:rsidRPr="00326A8A">
        <w:rPr>
          <w:b/>
          <w:bCs/>
          <w:i/>
          <w:iCs/>
        </w:rPr>
        <w:t>Context</w:t>
      </w:r>
    </w:p>
    <w:p w14:paraId="1FC59C73" w14:textId="76587008" w:rsidR="00326A8A" w:rsidRDefault="002566BE" w:rsidP="006F1733">
      <w:pPr>
        <w:pStyle w:val="BodyText1"/>
        <w:spacing w:after="100"/>
        <w:ind w:left="1077"/>
      </w:pPr>
      <w:r>
        <w:t>This section provides information on the applicability of this document,</w:t>
      </w:r>
      <w:r w:rsidR="00675BAD">
        <w:t xml:space="preserve"> and contextual information which has informed the development of subsequent sections. This i</w:t>
      </w:r>
      <w:r w:rsidR="00E424A9">
        <w:t>nclud</w:t>
      </w:r>
      <w:r w:rsidR="00675BAD">
        <w:t xml:space="preserve">es </w:t>
      </w:r>
      <w:r w:rsidR="00E424A9">
        <w:t>the purpose and scope of the work carried out</w:t>
      </w:r>
      <w:r w:rsidR="0039548A">
        <w:t xml:space="preserve"> in terms of occupation</w:t>
      </w:r>
      <w:r w:rsidR="00260763">
        <w:t xml:space="preserve">, </w:t>
      </w:r>
      <w:r w:rsidR="0039548A">
        <w:t>building types</w:t>
      </w:r>
      <w:r w:rsidR="00260763">
        <w:t xml:space="preserve"> and geographical area</w:t>
      </w:r>
      <w:r w:rsidR="00F36E4B">
        <w:t>, and information on existing qualifications and other mechanisms of building or measuring competence.</w:t>
      </w:r>
    </w:p>
    <w:p w14:paraId="6FB7CC43" w14:textId="0CA035AB" w:rsidR="0039548A" w:rsidRPr="0039548A" w:rsidRDefault="0039548A" w:rsidP="006F1733">
      <w:pPr>
        <w:pStyle w:val="ListParagraph"/>
        <w:numPr>
          <w:ilvl w:val="0"/>
          <w:numId w:val="24"/>
        </w:numPr>
        <w:spacing w:after="0"/>
        <w:ind w:left="1077" w:hanging="357"/>
        <w:rPr>
          <w:b/>
          <w:bCs/>
          <w:i/>
          <w:iCs/>
        </w:rPr>
      </w:pPr>
      <w:r>
        <w:rPr>
          <w:b/>
          <w:bCs/>
          <w:i/>
          <w:iCs/>
        </w:rPr>
        <w:t>Functional map and framework of competencies</w:t>
      </w:r>
    </w:p>
    <w:p w14:paraId="0EB6BD80" w14:textId="47F62A32" w:rsidR="00E63ABB" w:rsidRDefault="00F36E4B" w:rsidP="006F1733">
      <w:pPr>
        <w:pStyle w:val="BodyText1"/>
        <w:spacing w:after="100"/>
        <w:ind w:left="1077"/>
      </w:pPr>
      <w:r>
        <w:t>This section</w:t>
      </w:r>
      <w:r w:rsidR="00C1254F">
        <w:t xml:space="preserve"> set</w:t>
      </w:r>
      <w:r>
        <w:t>s</w:t>
      </w:r>
      <w:r w:rsidR="00C1254F">
        <w:t xml:space="preserve"> out the activities carried out within firestopping, and the </w:t>
      </w:r>
      <w:r w:rsidR="005B337C">
        <w:t>benchmark for competence within</w:t>
      </w:r>
      <w:r w:rsidR="001262DF">
        <w:t xml:space="preserve"> </w:t>
      </w:r>
      <w:r w:rsidR="005B337C">
        <w:t xml:space="preserve">them in terms of </w:t>
      </w:r>
      <w:r w:rsidR="00260763">
        <w:t>skills, knowledge, experience</w:t>
      </w:r>
      <w:r w:rsidR="00E5123A">
        <w:t>,</w:t>
      </w:r>
      <w:r w:rsidR="00260763">
        <w:t xml:space="preserve"> and behaviour</w:t>
      </w:r>
      <w:r w:rsidR="001262DF">
        <w:t>.</w:t>
      </w:r>
    </w:p>
    <w:p w14:paraId="516FC02F" w14:textId="5DA3F8A7" w:rsidR="00E63ABB" w:rsidRDefault="001218ED" w:rsidP="006F1733">
      <w:pPr>
        <w:pStyle w:val="ListParagraph"/>
        <w:numPr>
          <w:ilvl w:val="0"/>
          <w:numId w:val="24"/>
        </w:numPr>
        <w:spacing w:after="0"/>
        <w:ind w:left="1077" w:hanging="357"/>
        <w:rPr>
          <w:b/>
          <w:bCs/>
          <w:i/>
          <w:iCs/>
        </w:rPr>
      </w:pPr>
      <w:r>
        <w:rPr>
          <w:b/>
          <w:bCs/>
          <w:i/>
          <w:iCs/>
        </w:rPr>
        <w:t>Standard for competence</w:t>
      </w:r>
    </w:p>
    <w:p w14:paraId="36F7B6DC" w14:textId="06E82A3C" w:rsidR="001218ED" w:rsidRPr="001262DF" w:rsidRDefault="005B337C" w:rsidP="006F1733">
      <w:pPr>
        <w:pStyle w:val="BodyText1"/>
        <w:spacing w:after="100"/>
        <w:ind w:left="1077"/>
      </w:pPr>
      <w:r w:rsidRPr="001262DF">
        <w:t>This section includes d</w:t>
      </w:r>
      <w:r w:rsidR="00205082" w:rsidRPr="001262DF">
        <w:t>etails of how competence will be validated and revalidated against that standard to ensure both initial competence and currency of competence</w:t>
      </w:r>
      <w:r w:rsidR="001262DF" w:rsidRPr="001262DF">
        <w:t>.</w:t>
      </w:r>
    </w:p>
    <w:p w14:paraId="1593135B" w14:textId="644C22C9" w:rsidR="001401F7" w:rsidRPr="001401F7" w:rsidRDefault="001401F7" w:rsidP="006F1733">
      <w:pPr>
        <w:pStyle w:val="ListParagraph"/>
        <w:numPr>
          <w:ilvl w:val="0"/>
          <w:numId w:val="24"/>
        </w:numPr>
        <w:spacing w:after="0"/>
        <w:ind w:left="1077" w:hanging="357"/>
        <w:rPr>
          <w:b/>
          <w:bCs/>
          <w:i/>
          <w:iCs/>
        </w:rPr>
      </w:pPr>
      <w:r w:rsidRPr="001401F7">
        <w:rPr>
          <w:b/>
          <w:bCs/>
          <w:i/>
          <w:iCs/>
        </w:rPr>
        <w:t>Implementing the standard</w:t>
      </w:r>
    </w:p>
    <w:p w14:paraId="3764F3CA" w14:textId="30D593F1" w:rsidR="00A11D75" w:rsidRPr="00A11D75" w:rsidRDefault="005A0623" w:rsidP="006F1733">
      <w:pPr>
        <w:pStyle w:val="BodyText1"/>
        <w:spacing w:after="100"/>
        <w:ind w:left="1077"/>
      </w:pPr>
      <w:r>
        <w:t>This section sets out</w:t>
      </w:r>
      <w:r w:rsidR="00886A4D">
        <w:t xml:space="preserve"> expected actions required to turn the future state into a reality, including development of new qualifications and determination of mechanisms for on-going </w:t>
      </w:r>
      <w:r w:rsidR="00394409">
        <w:t>confirmation of competence</w:t>
      </w:r>
      <w:r>
        <w:t xml:space="preserve">. In some </w:t>
      </w:r>
      <w:proofErr w:type="gramStart"/>
      <w:r>
        <w:t>cases</w:t>
      </w:r>
      <w:proofErr w:type="gramEnd"/>
      <w:r>
        <w:t xml:space="preserve"> this includes feasibility studies and/or further consultation to </w:t>
      </w:r>
      <w:r w:rsidR="008E0A73">
        <w:t>determine development requirements and ensure that the direction of travel taken continues to be fit for purpose</w:t>
      </w:r>
      <w:r w:rsidR="001262DF">
        <w:t>.</w:t>
      </w:r>
    </w:p>
    <w:p w14:paraId="0312B51B" w14:textId="19F5BA32" w:rsidR="00B6648B" w:rsidRDefault="00694B4E" w:rsidP="00AA3E58">
      <w:pPr>
        <w:pStyle w:val="Heading1"/>
      </w:pPr>
      <w:bookmarkStart w:id="6" w:name="_Toc136540367"/>
      <w:r w:rsidRPr="00165921">
        <w:lastRenderedPageBreak/>
        <w:t>Context</w:t>
      </w:r>
      <w:bookmarkEnd w:id="6"/>
    </w:p>
    <w:p w14:paraId="5166940B" w14:textId="52DEB004" w:rsidR="00953D21" w:rsidRPr="00953D21" w:rsidRDefault="00FD1872" w:rsidP="00953D21">
      <w:pPr>
        <w:pStyle w:val="Heading2"/>
      </w:pPr>
      <w:bookmarkStart w:id="7" w:name="_Toc136540368"/>
      <w:r>
        <w:t>Purpose</w:t>
      </w:r>
      <w:bookmarkEnd w:id="7"/>
    </w:p>
    <w:p w14:paraId="61FECE6A" w14:textId="5A015F7A" w:rsidR="00442B05" w:rsidRDefault="00045633" w:rsidP="00165921">
      <w:pPr>
        <w:pStyle w:val="BodyText1"/>
      </w:pPr>
      <w:r>
        <w:t xml:space="preserve">The purpose of this work is to create a single industry </w:t>
      </w:r>
      <w:r w:rsidR="008870F1">
        <w:t>approach to developing, measuring</w:t>
      </w:r>
      <w:r w:rsidR="00646DDC">
        <w:t>,</w:t>
      </w:r>
      <w:r w:rsidR="008870F1">
        <w:t xml:space="preserve"> and validating the competence of </w:t>
      </w:r>
      <w:r w:rsidR="00C350DA">
        <w:t xml:space="preserve">those undertaking </w:t>
      </w:r>
      <w:r w:rsidR="00C350DA" w:rsidRPr="00916D71">
        <w:rPr>
          <w:rStyle w:val="Emphasis"/>
        </w:rPr>
        <w:t xml:space="preserve">specialist </w:t>
      </w:r>
      <w:r w:rsidR="00C350DA">
        <w:t xml:space="preserve">firestopping </w:t>
      </w:r>
      <w:r w:rsidR="00015B08">
        <w:t>occupations</w:t>
      </w:r>
      <w:r w:rsidR="004E5BAF">
        <w:t xml:space="preserve">. This </w:t>
      </w:r>
      <w:r w:rsidR="006A2B06">
        <w:t xml:space="preserve">comprises all </w:t>
      </w:r>
      <w:r w:rsidR="00A9309B">
        <w:t>those</w:t>
      </w:r>
      <w:r w:rsidR="00442B05">
        <w:t xml:space="preserve"> who carry out installation-related activities</w:t>
      </w:r>
      <w:r w:rsidR="006A2B06">
        <w:t>, including</w:t>
      </w:r>
      <w:r w:rsidR="00442B05">
        <w:t xml:space="preserve"> supervisory and management activities specifically related to firestopping installation.</w:t>
      </w:r>
    </w:p>
    <w:p w14:paraId="43A9F49F" w14:textId="63B64195" w:rsidR="00914319" w:rsidRDefault="00461748" w:rsidP="00165921">
      <w:pPr>
        <w:pStyle w:val="BodyText1"/>
      </w:pPr>
      <w:r>
        <w:t>This will ensure that defined arrangements are in place by which competence of firestopping specialists can be objectively measured and confirmed</w:t>
      </w:r>
      <w:r w:rsidR="006A7B76">
        <w:t xml:space="preserve">, increasing fire safety. </w:t>
      </w:r>
    </w:p>
    <w:p w14:paraId="70CCE983" w14:textId="15F5A824" w:rsidR="003271B9" w:rsidRDefault="003271B9" w:rsidP="00165921">
      <w:pPr>
        <w:pStyle w:val="BodyText1"/>
      </w:pPr>
      <w:r>
        <w:t>The intention is that further developments</w:t>
      </w:r>
      <w:r w:rsidR="00474F51">
        <w:t xml:space="preserve"> within passive fire protection should align with the work of </w:t>
      </w:r>
      <w:r w:rsidR="00ED5BC4" w:rsidRPr="00ED5BC4">
        <w:rPr>
          <w:highlight w:val="yellow"/>
        </w:rPr>
        <w:t>the sector group</w:t>
      </w:r>
      <w:r w:rsidR="00733979">
        <w:t xml:space="preserve">, using it as a basis for </w:t>
      </w:r>
      <w:r w:rsidR="00A559AC">
        <w:t>addition of activities and competencies related to installation of other types of passive fire protection</w:t>
      </w:r>
      <w:r w:rsidR="00474F51">
        <w:t>.</w:t>
      </w:r>
    </w:p>
    <w:p w14:paraId="067BC13D" w14:textId="1106C9E7" w:rsidR="00F06936" w:rsidRDefault="00AA79A6" w:rsidP="00165921">
      <w:pPr>
        <w:pStyle w:val="BodyText1"/>
      </w:pPr>
      <w:r>
        <w:t xml:space="preserve">This </w:t>
      </w:r>
      <w:r w:rsidR="00C10F23">
        <w:t>document</w:t>
      </w:r>
      <w:r>
        <w:t xml:space="preserve"> and </w:t>
      </w:r>
      <w:r w:rsidR="00D07D51">
        <w:t xml:space="preserve">its underpinning </w:t>
      </w:r>
      <w:r w:rsidR="00C10F23">
        <w:t>details</w:t>
      </w:r>
      <w:r w:rsidR="00D07D51">
        <w:t xml:space="preserve"> are designed for use for a variety of purposes, including:</w:t>
      </w:r>
    </w:p>
    <w:p w14:paraId="3C177D5D" w14:textId="1EB4C15A" w:rsidR="00D07D51" w:rsidRDefault="00D07D51" w:rsidP="001F6770">
      <w:pPr>
        <w:pStyle w:val="ListParagraph"/>
        <w:numPr>
          <w:ilvl w:val="0"/>
          <w:numId w:val="19"/>
        </w:numPr>
        <w:jc w:val="both"/>
      </w:pPr>
      <w:r>
        <w:t>Development of industry wide tools for measuring and validating competence</w:t>
      </w:r>
    </w:p>
    <w:p w14:paraId="6569F3C8" w14:textId="353E2823" w:rsidR="00D07D51" w:rsidRDefault="00D07D51" w:rsidP="001F6770">
      <w:pPr>
        <w:pStyle w:val="ListParagraph"/>
        <w:numPr>
          <w:ilvl w:val="0"/>
          <w:numId w:val="19"/>
        </w:numPr>
        <w:jc w:val="both"/>
      </w:pPr>
      <w:r>
        <w:t>Development of organisational approaches to evidencing workforce competence</w:t>
      </w:r>
    </w:p>
    <w:p w14:paraId="79C0189F" w14:textId="3DBD47C6" w:rsidR="00197263" w:rsidRDefault="00460722" w:rsidP="001F6770">
      <w:pPr>
        <w:pStyle w:val="ListParagraph"/>
        <w:numPr>
          <w:ilvl w:val="0"/>
          <w:numId w:val="19"/>
        </w:numPr>
        <w:jc w:val="both"/>
      </w:pPr>
      <w:r>
        <w:t>Alignment and/or r</w:t>
      </w:r>
      <w:r w:rsidR="00197263">
        <w:t>ecognition of existing training, assessment, qualifications</w:t>
      </w:r>
    </w:p>
    <w:p w14:paraId="56BD0797" w14:textId="5D12F3CA" w:rsidR="003519B4" w:rsidRDefault="003519B4" w:rsidP="001F6770">
      <w:pPr>
        <w:pStyle w:val="ListParagraph"/>
        <w:numPr>
          <w:ilvl w:val="0"/>
          <w:numId w:val="19"/>
        </w:numPr>
        <w:jc w:val="both"/>
      </w:pPr>
      <w:r>
        <w:t xml:space="preserve">Development of </w:t>
      </w:r>
      <w:r w:rsidR="00197263">
        <w:t xml:space="preserve">new </w:t>
      </w:r>
      <w:r>
        <w:t>training, assessment, qualifications, and occupational standards</w:t>
      </w:r>
    </w:p>
    <w:p w14:paraId="28A8C41F" w14:textId="108ECF90" w:rsidR="00D07D51" w:rsidRDefault="00D07D51" w:rsidP="001F6770">
      <w:pPr>
        <w:pStyle w:val="ListParagraph"/>
        <w:numPr>
          <w:ilvl w:val="0"/>
          <w:numId w:val="19"/>
        </w:numPr>
        <w:jc w:val="both"/>
      </w:pPr>
      <w:r>
        <w:t>Strengthening arrangements for organisational capability through third party certification schemes</w:t>
      </w:r>
    </w:p>
    <w:p w14:paraId="53832807" w14:textId="6C69B199" w:rsidR="00953D21" w:rsidRDefault="00FD1872" w:rsidP="00953D21">
      <w:pPr>
        <w:pStyle w:val="Heading2"/>
      </w:pPr>
      <w:bookmarkStart w:id="8" w:name="_Toc136540369"/>
      <w:r>
        <w:t>Scope</w:t>
      </w:r>
      <w:bookmarkEnd w:id="8"/>
    </w:p>
    <w:p w14:paraId="34461AFC" w14:textId="77777777" w:rsidR="000F6B77" w:rsidRDefault="000F6B77" w:rsidP="000F6B77">
      <w:pPr>
        <w:pStyle w:val="Heading3"/>
      </w:pPr>
      <w:r>
        <w:t>Occupational relevance</w:t>
      </w:r>
    </w:p>
    <w:p w14:paraId="28DFA98E" w14:textId="27787AF6" w:rsidR="0051360C" w:rsidRDefault="0051360C" w:rsidP="000F6B77">
      <w:pPr>
        <w:pStyle w:val="BodyText1"/>
      </w:pPr>
      <w:r>
        <w:t xml:space="preserve">This approach to competence has been designed for those in </w:t>
      </w:r>
      <w:r w:rsidRPr="00916D71">
        <w:rPr>
          <w:rStyle w:val="Emphasis"/>
        </w:rPr>
        <w:t xml:space="preserve">specialist </w:t>
      </w:r>
      <w:r>
        <w:t>firestopping occupations undertaking installation-related activities. This includes supervisory and management activities specifically related to firestopping installation.</w:t>
      </w:r>
    </w:p>
    <w:p w14:paraId="0085FF0E" w14:textId="5E2371F9" w:rsidR="000F6B77" w:rsidRDefault="000F6B77" w:rsidP="000F6B77">
      <w:pPr>
        <w:pStyle w:val="BodyText1"/>
      </w:pPr>
      <w:r>
        <w:t xml:space="preserve">The work required to cover the full scope of activities within firestopping installation has been split into two phases. </w:t>
      </w:r>
    </w:p>
    <w:p w14:paraId="2F9676D5" w14:textId="61F651C4" w:rsidR="000F6B77" w:rsidRDefault="00A12CE3" w:rsidP="000F6B77">
      <w:pPr>
        <w:pStyle w:val="BodyText1"/>
      </w:pPr>
      <w:r>
        <w:t>This document applies to the first phase of work</w:t>
      </w:r>
      <w:r w:rsidR="00CD421B">
        <w:t>, which</w:t>
      </w:r>
      <w:r w:rsidR="000F6B77">
        <w:t xml:space="preserve"> includes activities which may apply to those in the following occupations:</w:t>
      </w:r>
    </w:p>
    <w:p w14:paraId="3A598C71" w14:textId="77777777" w:rsidR="000F6B77" w:rsidRDefault="000F6B77" w:rsidP="000F6B77">
      <w:pPr>
        <w:pStyle w:val="ListParagraph"/>
        <w:numPr>
          <w:ilvl w:val="0"/>
          <w:numId w:val="20"/>
        </w:numPr>
        <w:jc w:val="both"/>
      </w:pPr>
      <w:r>
        <w:t>Specialist Firestopping Installer</w:t>
      </w:r>
    </w:p>
    <w:p w14:paraId="186D9FD6" w14:textId="77777777" w:rsidR="000F6B77" w:rsidRDefault="000F6B77" w:rsidP="000F6B77">
      <w:pPr>
        <w:pStyle w:val="ListParagraph"/>
        <w:numPr>
          <w:ilvl w:val="0"/>
          <w:numId w:val="20"/>
        </w:numPr>
        <w:jc w:val="both"/>
      </w:pPr>
      <w:r>
        <w:t>Firestopping Team Leader</w:t>
      </w:r>
    </w:p>
    <w:p w14:paraId="40998931" w14:textId="77777777" w:rsidR="000F6B77" w:rsidRDefault="000F6B77" w:rsidP="000F6B77">
      <w:pPr>
        <w:pStyle w:val="ListParagraph"/>
        <w:numPr>
          <w:ilvl w:val="0"/>
          <w:numId w:val="20"/>
        </w:numPr>
        <w:jc w:val="both"/>
      </w:pPr>
      <w:r>
        <w:t>Firestopping Supervisor</w:t>
      </w:r>
    </w:p>
    <w:p w14:paraId="5D30FC55" w14:textId="77777777" w:rsidR="000F6B77" w:rsidRDefault="000F6B77" w:rsidP="000F6B77">
      <w:pPr>
        <w:pStyle w:val="BodyText1"/>
      </w:pPr>
      <w:r>
        <w:t>The second phase of work is yet to be scheduled and will focus on more complex activities related to firestopping carried out by those in less specialist supervisory roles.</w:t>
      </w:r>
    </w:p>
    <w:p w14:paraId="0C14E977" w14:textId="7597116B" w:rsidR="00C12005" w:rsidRDefault="00C12005" w:rsidP="00C12005">
      <w:pPr>
        <w:pStyle w:val="BodyText1"/>
      </w:pPr>
      <w:r w:rsidRPr="00C22F03">
        <w:t xml:space="preserve">It is acknowledged within this document that the competencies addressed </w:t>
      </w:r>
      <w:r>
        <w:t xml:space="preserve">for specialist </w:t>
      </w:r>
      <w:proofErr w:type="spellStart"/>
      <w:r>
        <w:t>firestoppers</w:t>
      </w:r>
      <w:proofErr w:type="spellEnd"/>
      <w:r w:rsidRPr="00C22F03">
        <w:t xml:space="preserve"> apply equally to those carrying out firestopping work as a part of their </w:t>
      </w:r>
      <w:r w:rsidR="00374B1F">
        <w:t>related</w:t>
      </w:r>
      <w:r w:rsidR="00374B1F" w:rsidRPr="00C22F03">
        <w:t xml:space="preserve"> </w:t>
      </w:r>
      <w:r w:rsidRPr="00C22F03">
        <w:t>activities. Consideration has been given to the</w:t>
      </w:r>
      <w:r>
        <w:t xml:space="preserve"> </w:t>
      </w:r>
      <w:r w:rsidRPr="00C22F03">
        <w:t>reusability</w:t>
      </w:r>
      <w:r>
        <w:t xml:space="preserve"> </w:t>
      </w:r>
      <w:r w:rsidRPr="00C22F03">
        <w:t xml:space="preserve">of the standard for those </w:t>
      </w:r>
      <w:r>
        <w:t xml:space="preserve">installers of firestopping </w:t>
      </w:r>
      <w:r w:rsidRPr="00C22F03">
        <w:t>outside of the specialist occupation</w:t>
      </w:r>
      <w:r>
        <w:t>s</w:t>
      </w:r>
      <w:r w:rsidRPr="00C22F03">
        <w:t xml:space="preserve">. </w:t>
      </w:r>
      <w:r w:rsidR="00344EDF">
        <w:t>Furthermore</w:t>
      </w:r>
      <w:r>
        <w:t>, it is desirable</w:t>
      </w:r>
      <w:r w:rsidRPr="00C22F03">
        <w:t xml:space="preserve"> to embed the standards for firestopping competence set out here within other sector competence frameworks</w:t>
      </w:r>
      <w:r>
        <w:t>.</w:t>
      </w:r>
    </w:p>
    <w:p w14:paraId="228333B2" w14:textId="22FA971B" w:rsidR="00E632F2" w:rsidRDefault="003640CD" w:rsidP="003640CD">
      <w:pPr>
        <w:pStyle w:val="Heading3"/>
      </w:pPr>
      <w:r>
        <w:lastRenderedPageBreak/>
        <w:t>Limit</w:t>
      </w:r>
      <w:r w:rsidR="00E632F2">
        <w:t>ations and exclusions</w:t>
      </w:r>
    </w:p>
    <w:p w14:paraId="22E4873B" w14:textId="49244B58" w:rsidR="007076AD" w:rsidRDefault="007076AD" w:rsidP="003640CD">
      <w:r>
        <w:t>The design and specification of firestopping is specifically excluded</w:t>
      </w:r>
      <w:r w:rsidR="00AB6A59">
        <w:t>, as d</w:t>
      </w:r>
      <w:r w:rsidR="00FF71CE">
        <w:t>esign responsibility does not site with those installing firestopping products and systems.</w:t>
      </w:r>
      <w:r w:rsidR="00E632F2">
        <w:t xml:space="preserve"> </w:t>
      </w:r>
    </w:p>
    <w:p w14:paraId="4EAE1E85" w14:textId="322D061B" w:rsidR="00E632F2" w:rsidRDefault="00675536" w:rsidP="00E632F2">
      <w:pPr>
        <w:pStyle w:val="BodyText1"/>
      </w:pPr>
      <w:r>
        <w:t>This document is specific to firestopping installation; i</w:t>
      </w:r>
      <w:r w:rsidR="00E632F2">
        <w:t>nstallation of other passive fire protection measures is not included.</w:t>
      </w:r>
    </w:p>
    <w:p w14:paraId="24523FF0" w14:textId="2E4B3638" w:rsidR="00C755AA" w:rsidRPr="00C755AA" w:rsidRDefault="00C755AA" w:rsidP="00C755AA">
      <w:pPr>
        <w:pStyle w:val="Heading3"/>
      </w:pPr>
      <w:r>
        <w:t>Building types</w:t>
      </w:r>
    </w:p>
    <w:p w14:paraId="0FBB3B2B" w14:textId="3FA1F35E" w:rsidR="0013613B" w:rsidRDefault="00C77E00" w:rsidP="00165921">
      <w:pPr>
        <w:pStyle w:val="BodyText1"/>
      </w:pPr>
      <w:r>
        <w:t>The requirements set out in this document apply equally to those installing firestopping in high</w:t>
      </w:r>
      <w:r w:rsidR="00CA11DD">
        <w:t>er</w:t>
      </w:r>
      <w:r>
        <w:t xml:space="preserve">-risk </w:t>
      </w:r>
      <w:r w:rsidR="003865B2">
        <w:t>buildings (</w:t>
      </w:r>
      <w:proofErr w:type="spellStart"/>
      <w:r w:rsidR="003865B2">
        <w:t>HRBs</w:t>
      </w:r>
      <w:proofErr w:type="spellEnd"/>
      <w:r w:rsidR="003865B2">
        <w:t xml:space="preserve">) </w:t>
      </w:r>
      <w:r>
        <w:t>and other building types.</w:t>
      </w:r>
      <w:r w:rsidR="003865B2">
        <w:t xml:space="preserve"> </w:t>
      </w:r>
    </w:p>
    <w:p w14:paraId="73F270A9" w14:textId="204D269B" w:rsidR="00C77E00" w:rsidRDefault="00547A00" w:rsidP="00165921">
      <w:pPr>
        <w:pStyle w:val="BodyText1"/>
      </w:pPr>
      <w:r>
        <w:t xml:space="preserve">Although design and specification of firestopping for </w:t>
      </w:r>
      <w:proofErr w:type="spellStart"/>
      <w:r>
        <w:t>HRBs</w:t>
      </w:r>
      <w:proofErr w:type="spellEnd"/>
      <w:r>
        <w:t xml:space="preserve"> may differ from that required for non-</w:t>
      </w:r>
      <w:proofErr w:type="spellStart"/>
      <w:r>
        <w:t>HRBs</w:t>
      </w:r>
      <w:proofErr w:type="spellEnd"/>
      <w:r>
        <w:t xml:space="preserve">, the installation of </w:t>
      </w:r>
      <w:r w:rsidR="005B25BB">
        <w:t>the firestopping products and systems selected i</w:t>
      </w:r>
      <w:r w:rsidR="004752C2">
        <w:t>s</w:t>
      </w:r>
      <w:r w:rsidR="005B25BB">
        <w:t xml:space="preserve"> consistent no matter the building type</w:t>
      </w:r>
      <w:r w:rsidR="0013613B">
        <w:t xml:space="preserve">. As a </w:t>
      </w:r>
      <w:proofErr w:type="gramStart"/>
      <w:r w:rsidR="0013613B">
        <w:t>result</w:t>
      </w:r>
      <w:proofErr w:type="gramEnd"/>
      <w:r w:rsidR="0013613B">
        <w:t xml:space="preserve"> it is expected that the competence requirements set out here would apply to all firestopping </w:t>
      </w:r>
      <w:r w:rsidR="00E64013">
        <w:t>specialists</w:t>
      </w:r>
      <w:r w:rsidR="0013613B">
        <w:t>, regardless of the type of building being worked on.</w:t>
      </w:r>
    </w:p>
    <w:p w14:paraId="1B841042" w14:textId="77777777" w:rsidR="002C48A9" w:rsidRDefault="002C48A9" w:rsidP="002C48A9">
      <w:pPr>
        <w:pStyle w:val="Heading3"/>
      </w:pPr>
      <w:r>
        <w:t>Geographical scope</w:t>
      </w:r>
    </w:p>
    <w:p w14:paraId="34707D08" w14:textId="12DBC295" w:rsidR="002C48A9" w:rsidRPr="00C755AA" w:rsidRDefault="002C48A9" w:rsidP="002C48A9">
      <w:r>
        <w:t xml:space="preserve">This </w:t>
      </w:r>
      <w:r w:rsidR="00BE0675">
        <w:t>proposals in this report have</w:t>
      </w:r>
      <w:r>
        <w:t xml:space="preserve"> designed to apply to</w:t>
      </w:r>
      <w:r w:rsidR="006C48E7">
        <w:t xml:space="preserve"> the whole of the UK.</w:t>
      </w:r>
      <w:r>
        <w:t xml:space="preserve"> </w:t>
      </w:r>
    </w:p>
    <w:p w14:paraId="1F1B02AE" w14:textId="77777777" w:rsidR="00510F72" w:rsidRDefault="00510F72" w:rsidP="0089225B">
      <w:pPr>
        <w:pStyle w:val="Heading2"/>
      </w:pPr>
      <w:bookmarkStart w:id="9" w:name="_Toc136540370"/>
      <w:r>
        <w:t xml:space="preserve">Activity based </w:t>
      </w:r>
      <w:proofErr w:type="gramStart"/>
      <w:r>
        <w:t>competence</w:t>
      </w:r>
      <w:bookmarkEnd w:id="9"/>
      <w:proofErr w:type="gramEnd"/>
    </w:p>
    <w:p w14:paraId="0592A6FC" w14:textId="2EA21B3F" w:rsidR="00510F72" w:rsidRDefault="006921AF" w:rsidP="00617541">
      <w:pPr>
        <w:pStyle w:val="BodyText1"/>
      </w:pPr>
      <w:r>
        <w:t xml:space="preserve">The work carried out by </w:t>
      </w:r>
      <w:proofErr w:type="spellStart"/>
      <w:r>
        <w:t>firestoppers</w:t>
      </w:r>
      <w:proofErr w:type="spellEnd"/>
      <w:r>
        <w:t xml:space="preserve"> is diverse. </w:t>
      </w:r>
      <w:r w:rsidR="00035E9C">
        <w:t>In initial research</w:t>
      </w:r>
      <w:r w:rsidR="00B0095E">
        <w:t>,</w:t>
      </w:r>
      <w:r w:rsidR="00A93861">
        <w:t xml:space="preserve"> </w:t>
      </w:r>
      <w:r w:rsidR="00A0482A">
        <w:t>more than</w:t>
      </w:r>
      <w:r w:rsidR="00187465">
        <w:t xml:space="preserve"> </w:t>
      </w:r>
      <w:r w:rsidR="00ED24BB">
        <w:t xml:space="preserve">15 types of firestopping </w:t>
      </w:r>
      <w:r w:rsidR="00B0095E">
        <w:t>products</w:t>
      </w:r>
      <w:r w:rsidR="001B37F3">
        <w:t xml:space="preserve"> </w:t>
      </w:r>
      <w:r w:rsidR="00C92E5C">
        <w:t>or</w:t>
      </w:r>
      <w:r w:rsidR="001B37F3">
        <w:t xml:space="preserve"> </w:t>
      </w:r>
      <w:r w:rsidR="00ED24BB">
        <w:t>systems were identified</w:t>
      </w:r>
      <w:r w:rsidR="007B6C41">
        <w:t xml:space="preserve">, each with </w:t>
      </w:r>
      <w:r w:rsidR="00A467A3">
        <w:t>potentially distinct installation requirements</w:t>
      </w:r>
      <w:r w:rsidR="00B0095E">
        <w:t>. The exact combination</w:t>
      </w:r>
      <w:r w:rsidR="001B37F3">
        <w:t xml:space="preserve"> of these </w:t>
      </w:r>
      <w:r w:rsidR="00C92E5C">
        <w:t xml:space="preserve">on </w:t>
      </w:r>
      <w:r w:rsidR="001B37F3">
        <w:t xml:space="preserve">which a specific installer will undertake work </w:t>
      </w:r>
      <w:r w:rsidR="00617541">
        <w:t xml:space="preserve">will depend on </w:t>
      </w:r>
      <w:r w:rsidR="00C92E5C">
        <w:t>their employer’s</w:t>
      </w:r>
      <w:r w:rsidR="00617541">
        <w:t xml:space="preserve"> scope of work and the types of projects that they </w:t>
      </w:r>
      <w:r w:rsidR="00E201F1">
        <w:t>secure</w:t>
      </w:r>
      <w:r w:rsidR="00617541">
        <w:t xml:space="preserve">. </w:t>
      </w:r>
      <w:r w:rsidR="00CE487A">
        <w:t xml:space="preserve">The role of each </w:t>
      </w:r>
      <w:proofErr w:type="spellStart"/>
      <w:r w:rsidR="00CE487A">
        <w:t>firestopp</w:t>
      </w:r>
      <w:r w:rsidR="008172B1">
        <w:t>er</w:t>
      </w:r>
      <w:proofErr w:type="spellEnd"/>
      <w:r w:rsidR="00CE487A">
        <w:t xml:space="preserve"> will therefore differ from individual to individual and organisation to organisation. </w:t>
      </w:r>
      <w:r w:rsidR="00FF3550">
        <w:t xml:space="preserve">The scope of each role may also change over time as the mix of work undertaken expands or contracts. </w:t>
      </w:r>
      <w:r w:rsidR="00D55948">
        <w:t xml:space="preserve">This makes a single occupational definition of a </w:t>
      </w:r>
      <w:r w:rsidR="00C34B23">
        <w:t>Specialist F</w:t>
      </w:r>
      <w:r w:rsidR="00D55948">
        <w:t>ires</w:t>
      </w:r>
      <w:r w:rsidR="00E201F1">
        <w:t>t</w:t>
      </w:r>
      <w:r w:rsidR="00D55948">
        <w:t xml:space="preserve">opping </w:t>
      </w:r>
      <w:r w:rsidR="00C34B23">
        <w:t>I</w:t>
      </w:r>
      <w:r w:rsidR="00D55948">
        <w:t xml:space="preserve">nstaller </w:t>
      </w:r>
      <w:r w:rsidR="00DE6F49">
        <w:t xml:space="preserve">(and by extension a single, linear route to competence) </w:t>
      </w:r>
      <w:r w:rsidR="00D55948">
        <w:t>challenging</w:t>
      </w:r>
      <w:r w:rsidR="00CE487A">
        <w:t>.</w:t>
      </w:r>
    </w:p>
    <w:p w14:paraId="4A89DC45" w14:textId="10FFC3D2" w:rsidR="002324C1" w:rsidRDefault="003514BB" w:rsidP="00617541">
      <w:pPr>
        <w:pStyle w:val="BodyText1"/>
      </w:pPr>
      <w:r>
        <w:t>To account</w:t>
      </w:r>
      <w:r w:rsidR="00636115">
        <w:t xml:space="preserve"> for</w:t>
      </w:r>
      <w:r>
        <w:t xml:space="preserve"> this complexity, an activity</w:t>
      </w:r>
      <w:r w:rsidR="00572536">
        <w:t>-</w:t>
      </w:r>
      <w:r>
        <w:t xml:space="preserve">based </w:t>
      </w:r>
      <w:r w:rsidR="00BE0675">
        <w:t>definition of</w:t>
      </w:r>
      <w:r>
        <w:t xml:space="preserve"> competence has been </w:t>
      </w:r>
      <w:r w:rsidR="00046C52">
        <w:t>used</w:t>
      </w:r>
      <w:r w:rsidR="00572536">
        <w:t xml:space="preserve">. This allows </w:t>
      </w:r>
      <w:r w:rsidR="00AE5FD7">
        <w:t>statements for skills, knowledge, experience</w:t>
      </w:r>
      <w:r w:rsidR="008D0247">
        <w:t>,</w:t>
      </w:r>
      <w:r w:rsidR="00AE5FD7">
        <w:t xml:space="preserve"> and behaviour</w:t>
      </w:r>
      <w:r w:rsidR="004D0946">
        <w:t xml:space="preserve"> (</w:t>
      </w:r>
      <w:proofErr w:type="spellStart"/>
      <w:r w:rsidR="004D0946">
        <w:t>SKEB</w:t>
      </w:r>
      <w:proofErr w:type="spellEnd"/>
      <w:r w:rsidR="004D0946">
        <w:t>)</w:t>
      </w:r>
      <w:r w:rsidR="00AE5FD7">
        <w:t xml:space="preserve"> to be defined per activity undertaken</w:t>
      </w:r>
      <w:r w:rsidR="009B1BDD">
        <w:t xml:space="preserve">. </w:t>
      </w:r>
      <w:r w:rsidR="009F7CEC">
        <w:t xml:space="preserve">Installers and installer organisations are then able to choose the activities that are relevant to their work and ensure that they meet the competence requirements for those activities. </w:t>
      </w:r>
      <w:r w:rsidR="00567C3F">
        <w:t>This will prevent barriers to demonstration of competence from being created</w:t>
      </w:r>
      <w:r w:rsidR="00212E0E">
        <w:t xml:space="preserve"> through introduction of requirements which cannot be met by all installers.</w:t>
      </w:r>
    </w:p>
    <w:p w14:paraId="17B13DE2" w14:textId="34E22523" w:rsidR="006B4BA3" w:rsidRDefault="00B568DD" w:rsidP="00B22E3A">
      <w:pPr>
        <w:pStyle w:val="Heading2"/>
      </w:pPr>
      <w:bookmarkStart w:id="10" w:name="_Toc136540371"/>
      <w:r>
        <w:t>Benchmarks</w:t>
      </w:r>
      <w:r w:rsidR="00CC7C8C">
        <w:t xml:space="preserve"> for i</w:t>
      </w:r>
      <w:r w:rsidR="006B4BA3">
        <w:t>ndividual competence</w:t>
      </w:r>
      <w:bookmarkEnd w:id="10"/>
    </w:p>
    <w:p w14:paraId="3AB1B56E" w14:textId="47538C0B" w:rsidR="00E66D2B" w:rsidRPr="00E66D2B" w:rsidRDefault="00E66D2B" w:rsidP="00E66D2B">
      <w:pPr>
        <w:pStyle w:val="Heading3"/>
      </w:pPr>
      <w:r>
        <w:t>Occupational standards</w:t>
      </w:r>
    </w:p>
    <w:p w14:paraId="70FECABF" w14:textId="77777777" w:rsidR="00012B32" w:rsidRDefault="00E57E61" w:rsidP="006B4BA3">
      <w:pPr>
        <w:pStyle w:val="BodyText1"/>
      </w:pPr>
      <w:r>
        <w:t>T</w:t>
      </w:r>
      <w:r w:rsidR="006B4BA3">
        <w:t>here are currently few</w:t>
      </w:r>
      <w:r>
        <w:t xml:space="preserve"> consistent</w:t>
      </w:r>
      <w:r w:rsidR="006B4BA3">
        <w:t xml:space="preserve"> </w:t>
      </w:r>
      <w:r w:rsidR="002F3F76">
        <w:t>benchmarks</w:t>
      </w:r>
      <w:r w:rsidR="006B4BA3">
        <w:t xml:space="preserve"> </w:t>
      </w:r>
      <w:r w:rsidR="005009E3">
        <w:t xml:space="preserve">for competence </w:t>
      </w:r>
      <w:r w:rsidR="006B4BA3">
        <w:t xml:space="preserve">in place across the range of firestopping activities carried out. </w:t>
      </w:r>
    </w:p>
    <w:p w14:paraId="308C97DA" w14:textId="047C8C74" w:rsidR="009E5246" w:rsidRDefault="00DF0D7B" w:rsidP="006B4BA3">
      <w:pPr>
        <w:pStyle w:val="BodyText1"/>
      </w:pPr>
      <w:r>
        <w:t>Existing National Occupational Standards</w:t>
      </w:r>
      <w:r w:rsidR="00665084">
        <w:t xml:space="preserve"> (NOS)</w:t>
      </w:r>
      <w:r>
        <w:t xml:space="preserve"> were examined as part of th</w:t>
      </w:r>
      <w:r w:rsidR="00535D43">
        <w:t>e</w:t>
      </w:r>
      <w:r>
        <w:t xml:space="preserve"> development </w:t>
      </w:r>
      <w:r w:rsidR="00535D43">
        <w:t xml:space="preserve">of the </w:t>
      </w:r>
      <w:r w:rsidR="00983587">
        <w:t>functional map and framework of competencies</w:t>
      </w:r>
      <w:r w:rsidR="00F808F7">
        <w:t>. These were found to be limited and generic in nature, with a lack of sufficient detail to ensure the consist</w:t>
      </w:r>
      <w:r w:rsidR="00710AB0">
        <w:t>ent development and measurement of appropriate competence for firestopping</w:t>
      </w:r>
      <w:r w:rsidR="0076101E">
        <w:t xml:space="preserve">. As a result, these were </w:t>
      </w:r>
      <w:r w:rsidR="0047067F">
        <w:t>considered</w:t>
      </w:r>
      <w:r>
        <w:t xml:space="preserve"> </w:t>
      </w:r>
      <w:r w:rsidR="00EE6CE8">
        <w:t>to be no longer fit for purpose</w:t>
      </w:r>
      <w:r w:rsidR="00986F90">
        <w:t xml:space="preserve"> and </w:t>
      </w:r>
      <w:r w:rsidR="008C0590">
        <w:t xml:space="preserve">updated </w:t>
      </w:r>
      <w:proofErr w:type="spellStart"/>
      <w:r w:rsidR="008D0247">
        <w:t>SKEB</w:t>
      </w:r>
      <w:proofErr w:type="spellEnd"/>
      <w:r w:rsidR="008D0247">
        <w:t xml:space="preserve"> statements</w:t>
      </w:r>
      <w:r w:rsidR="008C0590">
        <w:t xml:space="preserve"> were created</w:t>
      </w:r>
      <w:r w:rsidR="00F11575">
        <w:t>.</w:t>
      </w:r>
    </w:p>
    <w:p w14:paraId="266DE279" w14:textId="622295A9" w:rsidR="006B4BA3" w:rsidRDefault="00115CB4" w:rsidP="006B4BA3">
      <w:pPr>
        <w:pStyle w:val="BodyText1"/>
      </w:pPr>
      <w:proofErr w:type="spellStart"/>
      <w:r>
        <w:t>CITB</w:t>
      </w:r>
      <w:proofErr w:type="spellEnd"/>
      <w:r>
        <w:t xml:space="preserve"> has made plans to redevelop </w:t>
      </w:r>
      <w:r w:rsidR="00F11575">
        <w:t>t</w:t>
      </w:r>
      <w:r w:rsidR="008C19C3">
        <w:t>he NOS</w:t>
      </w:r>
      <w:r w:rsidR="00FA684C">
        <w:t xml:space="preserve"> in line with the </w:t>
      </w:r>
      <w:r w:rsidR="00670A4F">
        <w:t>work of FSSG</w:t>
      </w:r>
      <w:r>
        <w:t xml:space="preserve"> to ensure that appropriate provision is available for the sector.</w:t>
      </w:r>
    </w:p>
    <w:p w14:paraId="4C0201D8" w14:textId="029FD12A" w:rsidR="008A0763" w:rsidRDefault="008A0763" w:rsidP="006B4BA3">
      <w:pPr>
        <w:pStyle w:val="BodyText1"/>
      </w:pPr>
      <w:r>
        <w:lastRenderedPageBreak/>
        <w:t>Some short-duration training standards</w:t>
      </w:r>
      <w:r w:rsidR="00E267F1">
        <w:t xml:space="preserve"> (</w:t>
      </w:r>
      <w:r>
        <w:t xml:space="preserve">owned and maintained by </w:t>
      </w:r>
      <w:proofErr w:type="spellStart"/>
      <w:r>
        <w:t>CITB</w:t>
      </w:r>
      <w:proofErr w:type="spellEnd"/>
      <w:r w:rsidR="00E267F1">
        <w:t>)</w:t>
      </w:r>
      <w:r>
        <w:t xml:space="preserve"> exist in relation to firestopping and have been considered as part of the development work carried out.</w:t>
      </w:r>
      <w:r w:rsidR="005A2D2E">
        <w:t xml:space="preserve"> </w:t>
      </w:r>
      <w:r w:rsidR="00BA338D">
        <w:t>These</w:t>
      </w:r>
      <w:r w:rsidR="00FC261E">
        <w:t xml:space="preserve"> set out knowledge and skills required</w:t>
      </w:r>
      <w:r w:rsidR="00A07AE5">
        <w:t xml:space="preserve">, but do not </w:t>
      </w:r>
      <w:r w:rsidR="001062BF">
        <w:t>consider</w:t>
      </w:r>
      <w:r w:rsidR="00B123AF">
        <w:t xml:space="preserve"> </w:t>
      </w:r>
      <w:r w:rsidR="005330B1">
        <w:t xml:space="preserve">the </w:t>
      </w:r>
      <w:r w:rsidR="00B123AF">
        <w:t>requirements for experience and behaviour</w:t>
      </w:r>
      <w:r w:rsidR="005330B1">
        <w:t xml:space="preserve"> which need to be </w:t>
      </w:r>
      <w:r w:rsidR="001062BF">
        <w:t xml:space="preserve">included </w:t>
      </w:r>
      <w:r w:rsidR="00031E5F">
        <w:t>as part of the competence framework</w:t>
      </w:r>
      <w:r w:rsidR="00122ADD">
        <w:t xml:space="preserve">. These standards do not conflict with the </w:t>
      </w:r>
      <w:r w:rsidR="008F089F">
        <w:t>approach set out here and</w:t>
      </w:r>
      <w:r w:rsidR="00EA11A2">
        <w:t>, with some amendments,</w:t>
      </w:r>
      <w:r w:rsidR="008F089F">
        <w:t xml:space="preserve"> may be able to form the basis of </w:t>
      </w:r>
      <w:r w:rsidR="000255F7">
        <w:t>further unit</w:t>
      </w:r>
      <w:r w:rsidR="00E76681">
        <w:t>-</w:t>
      </w:r>
      <w:r w:rsidR="000255F7">
        <w:t xml:space="preserve">based awards or </w:t>
      </w:r>
      <w:r w:rsidR="00CE6262">
        <w:t>recognition of training requirements in future.</w:t>
      </w:r>
    </w:p>
    <w:p w14:paraId="52D37E05" w14:textId="2810D9AE" w:rsidR="00164D38" w:rsidRDefault="00164D38" w:rsidP="00164D38">
      <w:pPr>
        <w:pStyle w:val="Heading3"/>
      </w:pPr>
      <w:r>
        <w:t>Existing qualifications</w:t>
      </w:r>
    </w:p>
    <w:p w14:paraId="55AB3566" w14:textId="5D15FBFF" w:rsidR="002B1A9D" w:rsidRDefault="0060238D" w:rsidP="00387613">
      <w:pPr>
        <w:pStyle w:val="BodyText1"/>
      </w:pPr>
      <w:proofErr w:type="gramStart"/>
      <w:r>
        <w:t>Similarly</w:t>
      </w:r>
      <w:proofErr w:type="gramEnd"/>
      <w:r>
        <w:t xml:space="preserve"> to the NOS</w:t>
      </w:r>
      <w:r w:rsidR="002B1A9D">
        <w:t xml:space="preserve">, </w:t>
      </w:r>
      <w:r>
        <w:t>th</w:t>
      </w:r>
      <w:r w:rsidR="00CD6CD4">
        <w:t>e</w:t>
      </w:r>
      <w:r>
        <w:t xml:space="preserve"> work</w:t>
      </w:r>
      <w:r w:rsidR="00CD6CD4">
        <w:t xml:space="preserve"> of FSSG</w:t>
      </w:r>
      <w:r>
        <w:t xml:space="preserve"> has identified that </w:t>
      </w:r>
      <w:r w:rsidR="002B1A9D">
        <w:t>the existing Level 2 vocational qualification in passive fire protection (Level 2 Diploma in Associated Industrial Services Occupations (Passive Fire Protection</w:t>
      </w:r>
      <w:r w:rsidR="00867F07">
        <w:t>)</w:t>
      </w:r>
      <w:r w:rsidR="002B1A9D">
        <w:t>)</w:t>
      </w:r>
      <w:r>
        <w:t xml:space="preserve"> is no longer fit for purpose</w:t>
      </w:r>
      <w:r w:rsidR="002B1A9D">
        <w:t xml:space="preserve">. </w:t>
      </w:r>
      <w:proofErr w:type="spellStart"/>
      <w:r w:rsidR="002B1A9D">
        <w:t>CITB</w:t>
      </w:r>
      <w:proofErr w:type="spellEnd"/>
      <w:r w:rsidR="002B1A9D">
        <w:t xml:space="preserve"> has made plans to redevelop th</w:t>
      </w:r>
      <w:r w:rsidR="00055A97">
        <w:t>e qualification structure</w:t>
      </w:r>
      <w:r w:rsidR="002B1A9D">
        <w:t xml:space="preserve"> to ensure that appropriate provision is available for the sector</w:t>
      </w:r>
      <w:r w:rsidR="00055A97">
        <w:t>, in line with its planned NOS review.</w:t>
      </w:r>
    </w:p>
    <w:p w14:paraId="242C732E" w14:textId="4D11F328" w:rsidR="002B1A9D" w:rsidRDefault="002B1A9D" w:rsidP="00387613">
      <w:pPr>
        <w:pStyle w:val="BodyText1"/>
      </w:pPr>
      <w:r>
        <w:t xml:space="preserve">At the present time no qualification design has been completed. Consideration needs to be given to how units might be created and grouped to provide </w:t>
      </w:r>
      <w:r w:rsidR="00A3658F">
        <w:t xml:space="preserve">an initial qualification </w:t>
      </w:r>
      <w:r>
        <w:t xml:space="preserve">which isn’t unnecessarily burdensome to the learners or their employers. </w:t>
      </w:r>
      <w:r w:rsidR="00A3658F">
        <w:t>Due to the diverse</w:t>
      </w:r>
      <w:r>
        <w:t xml:space="preserve"> roles of Firestopping Specialist Installers</w:t>
      </w:r>
      <w:r w:rsidR="00A3658F">
        <w:t xml:space="preserve">, </w:t>
      </w:r>
      <w:r>
        <w:t>special care needs to be given to producing qualifications without barriers to</w:t>
      </w:r>
      <w:r w:rsidR="008F3067">
        <w:t xml:space="preserve"> access created by </w:t>
      </w:r>
      <w:r w:rsidR="003951DA">
        <w:t xml:space="preserve">including </w:t>
      </w:r>
      <w:r w:rsidR="007248FD">
        <w:t xml:space="preserve">multiple types of firestopping which might not be carried out by all installers. </w:t>
      </w:r>
      <w:r>
        <w:t>Types of firestopping may need to be grouped to allow for qualification achievement.</w:t>
      </w:r>
    </w:p>
    <w:p w14:paraId="55EA2EC1" w14:textId="5A26D55B" w:rsidR="00936EB1" w:rsidRDefault="00936EB1" w:rsidP="00387613">
      <w:pPr>
        <w:pStyle w:val="BodyText1"/>
      </w:pPr>
      <w:r>
        <w:t>A review of funding of level 2 qualifications is currently underway</w:t>
      </w:r>
      <w:r w:rsidR="00681245">
        <w:t xml:space="preserve">, led by </w:t>
      </w:r>
      <w:r w:rsidR="00806484">
        <w:t>the Institute for Apprenticeships &amp; Technical Education (</w:t>
      </w:r>
      <w:proofErr w:type="spellStart"/>
      <w:r w:rsidR="00806484">
        <w:t>I</w:t>
      </w:r>
      <w:r w:rsidR="00CD6D31">
        <w:t>f</w:t>
      </w:r>
      <w:r w:rsidR="00806484">
        <w:t>ATE</w:t>
      </w:r>
      <w:proofErr w:type="spellEnd"/>
      <w:r w:rsidR="00806484">
        <w:t>)</w:t>
      </w:r>
      <w:r w:rsidR="00CD6D31">
        <w:t>.</w:t>
      </w:r>
      <w:r w:rsidR="008D03A0">
        <w:t xml:space="preserve"> Through that process, FSSG has expressed its support for continuation of </w:t>
      </w:r>
      <w:r w:rsidR="00FE0AA9">
        <w:t>funding</w:t>
      </w:r>
      <w:r w:rsidR="00F36A0B">
        <w:t xml:space="preserve"> for the existing level 2 qualification in passive fire protection</w:t>
      </w:r>
      <w:r w:rsidR="00FE0AA9">
        <w:t xml:space="preserve"> until </w:t>
      </w:r>
      <w:r w:rsidR="00F36A0B">
        <w:t>a replacement qualification</w:t>
      </w:r>
      <w:r w:rsidR="00B42CC9">
        <w:t>, or qualification</w:t>
      </w:r>
      <w:r w:rsidR="00EB4BA6">
        <w:t>s</w:t>
      </w:r>
      <w:r w:rsidR="00B42CC9">
        <w:t>, are in place.</w:t>
      </w:r>
    </w:p>
    <w:p w14:paraId="52A5AD92" w14:textId="76D34AC4" w:rsidR="00A87DE4" w:rsidRDefault="00A87DE4" w:rsidP="00A87DE4">
      <w:pPr>
        <w:pStyle w:val="Heading3"/>
      </w:pPr>
      <w:r>
        <w:t>Additional / alternative qualifications</w:t>
      </w:r>
    </w:p>
    <w:p w14:paraId="476E43DD" w14:textId="1BFF1637" w:rsidR="00323FF8" w:rsidRDefault="00323FF8" w:rsidP="00387613">
      <w:pPr>
        <w:pStyle w:val="BodyText1"/>
      </w:pPr>
      <w:r>
        <w:t xml:space="preserve">A feasibility study for development of an apprenticeship for the Firestopping Specialist Installer role has yet to be carried out. Although </w:t>
      </w:r>
      <w:r w:rsidR="00EF780B">
        <w:t>consultation</w:t>
      </w:r>
      <w:r>
        <w:t xml:space="preserve"> so far suggests that employers would make use of an apprenticeship if one existed, this idea has been abandoned previously in the past due to the lack of available resource to </w:t>
      </w:r>
      <w:r w:rsidR="00F751AD">
        <w:t>compl</w:t>
      </w:r>
      <w:r w:rsidR="005960FA">
        <w:t>e</w:t>
      </w:r>
      <w:r w:rsidR="00F751AD">
        <w:t>te</w:t>
      </w:r>
      <w:r>
        <w:t xml:space="preserve"> the process. Consideration also needs to be given to whether the scope of the role would meet the minimum requirements for an apprenticeship or whether alternative provision would need to be made. If the entire scope of firestopping is included then it may be difficult to gain employer commitment, but without it the scope of the programme may not meet minimum requirements.</w:t>
      </w:r>
      <w:r w:rsidR="00C16EE6">
        <w:t xml:space="preserve"> </w:t>
      </w:r>
      <w:r>
        <w:t>Development of an apprenticeship, or otherwise, w</w:t>
      </w:r>
      <w:r w:rsidR="00C16EE6">
        <w:t>ould</w:t>
      </w:r>
      <w:r>
        <w:t xml:space="preserve"> be contingent on the findings of that </w:t>
      </w:r>
      <w:r w:rsidR="00C16EE6">
        <w:t>feasibility study</w:t>
      </w:r>
      <w:r>
        <w:t>.</w:t>
      </w:r>
    </w:p>
    <w:p w14:paraId="7B351D7B" w14:textId="488C18BE" w:rsidR="002E786B" w:rsidRDefault="002E786B" w:rsidP="00387613">
      <w:pPr>
        <w:pStyle w:val="BodyText1"/>
      </w:pPr>
      <w:r>
        <w:t xml:space="preserve">Where new sector entrants cannot access apprenticeship schemes, employers do </w:t>
      </w:r>
      <w:r w:rsidR="000A050C">
        <w:t>not wish</w:t>
      </w:r>
      <w:r>
        <w:t xml:space="preserve"> to support their development, or where an alternative entry route is required, </w:t>
      </w:r>
      <w:r w:rsidR="00C16EE6">
        <w:t>a Specialist Applied Skills Programme (SAP)</w:t>
      </w:r>
      <w:r>
        <w:t xml:space="preserve"> may be more appropriate. </w:t>
      </w:r>
      <w:r w:rsidR="000C54F8">
        <w:t>SAPs</w:t>
      </w:r>
      <w:r w:rsidR="003D0AA8">
        <w:t xml:space="preserve"> </w:t>
      </w:r>
      <w:r w:rsidR="000F103E">
        <w:t xml:space="preserve">(commissioned by </w:t>
      </w:r>
      <w:proofErr w:type="spellStart"/>
      <w:r w:rsidR="000F103E">
        <w:t>CITB</w:t>
      </w:r>
      <w:proofErr w:type="spellEnd"/>
      <w:r w:rsidR="000F103E">
        <w:t>) are specifically developed to create structured new entrant programmes of training and assessment</w:t>
      </w:r>
      <w:r w:rsidR="009745B3">
        <w:t xml:space="preserve"> leading to achievement of a vocational qualification in areas not currently covered by Apprenticeship Standards.</w:t>
      </w:r>
      <w:r w:rsidR="00FA6AAB">
        <w:t xml:space="preserve"> </w:t>
      </w:r>
      <w:r>
        <w:t xml:space="preserve">Consideration </w:t>
      </w:r>
      <w:r w:rsidR="00FA6AAB">
        <w:t>is still required about</w:t>
      </w:r>
      <w:r>
        <w:t xml:space="preserve"> how this might take shape or what the implications might be for the individuals and their employers.</w:t>
      </w:r>
    </w:p>
    <w:p w14:paraId="74653FBE" w14:textId="12D5A290" w:rsidR="00A248A2" w:rsidRDefault="00A248A2" w:rsidP="00387613">
      <w:pPr>
        <w:pStyle w:val="BodyText1"/>
      </w:pPr>
      <w:r>
        <w:t>Both an Apprenticeship</w:t>
      </w:r>
      <w:r w:rsidR="00542260">
        <w:t xml:space="preserve"> and </w:t>
      </w:r>
      <w:proofErr w:type="gramStart"/>
      <w:r w:rsidR="00542260">
        <w:t>a</w:t>
      </w:r>
      <w:proofErr w:type="gramEnd"/>
      <w:r w:rsidR="00542260">
        <w:t xml:space="preserve"> SAP route have been set out within the proposed routes to competence.</w:t>
      </w:r>
    </w:p>
    <w:p w14:paraId="2EF8BF7F" w14:textId="6E777DDB" w:rsidR="00681661" w:rsidRDefault="005869AD" w:rsidP="00387613">
      <w:pPr>
        <w:pStyle w:val="BodyText1"/>
      </w:pPr>
      <w:r>
        <w:t xml:space="preserve">It is clear that </w:t>
      </w:r>
      <w:r w:rsidR="00681661">
        <w:t xml:space="preserve">however qualifications are constructed </w:t>
      </w:r>
      <w:r w:rsidR="005F476C">
        <w:t xml:space="preserve">the whole scope of firestopping cannot be encompassed in one qualification which is fit-for-purpose for all </w:t>
      </w:r>
      <w:proofErr w:type="spellStart"/>
      <w:r w:rsidR="005F476C">
        <w:t>firestoppers</w:t>
      </w:r>
      <w:proofErr w:type="spellEnd"/>
      <w:r w:rsidR="005F476C">
        <w:t>. A</w:t>
      </w:r>
      <w:r w:rsidR="00681661">
        <w:t xml:space="preserve">dditional activity-based competence will need to be added to ensure that the whole scope of an individual’s firestopping work is covered by their competency record. A flexible way for </w:t>
      </w:r>
      <w:proofErr w:type="spellStart"/>
      <w:r w:rsidR="00841DB3">
        <w:t>f</w:t>
      </w:r>
      <w:r w:rsidR="00681661">
        <w:t>irestoppers</w:t>
      </w:r>
      <w:proofErr w:type="spellEnd"/>
      <w:r w:rsidR="00681661">
        <w:t xml:space="preserve"> to add new competencies to </w:t>
      </w:r>
      <w:r w:rsidR="00681661">
        <w:lastRenderedPageBreak/>
        <w:t>the scope of the job role is essential, to allow for these to be added on top of minimum qualification requirements for initial validation, or to allow them to be added at a later stage following scope extension of the role.</w:t>
      </w:r>
      <w:r w:rsidR="00672FFA">
        <w:t xml:space="preserve"> </w:t>
      </w:r>
      <w:r w:rsidR="0074709B">
        <w:t>This has been reflected in the</w:t>
      </w:r>
      <w:r w:rsidR="00FE492A">
        <w:t xml:space="preserve"> proposed</w:t>
      </w:r>
      <w:r w:rsidR="0074709B">
        <w:t xml:space="preserve"> routes to competence and </w:t>
      </w:r>
      <w:r w:rsidR="00681661">
        <w:t>is a consideration which has implications for any of the routes proposed.</w:t>
      </w:r>
      <w:r w:rsidR="0074709B">
        <w:t xml:space="preserve"> </w:t>
      </w:r>
      <w:r w:rsidR="000441C2">
        <w:t>Whether approved training or formal qualification units are the best approach to achieving this will need to be determine</w:t>
      </w:r>
      <w:r w:rsidR="00FD1484">
        <w:t xml:space="preserve"> through further work.</w:t>
      </w:r>
    </w:p>
    <w:p w14:paraId="58C0E7F0" w14:textId="4608791F" w:rsidR="00EE3029" w:rsidRDefault="00EE3029" w:rsidP="00EE3029">
      <w:pPr>
        <w:pStyle w:val="Heading3"/>
      </w:pPr>
      <w:r>
        <w:t>Capacity and capability for qualification delivery</w:t>
      </w:r>
    </w:p>
    <w:p w14:paraId="04B93101" w14:textId="5F501EB1" w:rsidR="00EE3029" w:rsidRDefault="00EE3029" w:rsidP="00EE3029">
      <w:pPr>
        <w:pStyle w:val="BodyText1"/>
      </w:pPr>
      <w:r>
        <w:t>The current Level 2 Diploma in Associated Industrial Services Occupations (Passive Fire Protection) is targeted at experienced workers and based on assessment only. No formal training for either knowledge or skills is included. As a result, formal infrastructure for training delivery associated with the qualification is not currently in place, either through college networks or through private training providers. Consideration needs to be given to how this infrastructure can be put in place, and how that might be funded.</w:t>
      </w:r>
    </w:p>
    <w:p w14:paraId="47D82678" w14:textId="77777777" w:rsidR="00964FAB" w:rsidRDefault="00964FAB" w:rsidP="00631FFA">
      <w:pPr>
        <w:pStyle w:val="Heading2"/>
      </w:pPr>
      <w:bookmarkStart w:id="11" w:name="_Toc136540372"/>
      <w:r>
        <w:t>Alignment to other passive fire protection installation activities</w:t>
      </w:r>
      <w:bookmarkEnd w:id="11"/>
    </w:p>
    <w:p w14:paraId="4A4897F8" w14:textId="3039A60E" w:rsidR="00964FAB" w:rsidRDefault="00964FAB" w:rsidP="00964FAB">
      <w:pPr>
        <w:pStyle w:val="BodyText1"/>
      </w:pPr>
      <w:r>
        <w:t xml:space="preserve">The current scope of work for FSSG is limited to specialist firestopping installation activities. </w:t>
      </w:r>
      <w:r w:rsidR="00931CAC">
        <w:t>T</w:t>
      </w:r>
      <w:r>
        <w:t>he</w:t>
      </w:r>
      <w:r w:rsidR="005020CE">
        <w:t>s</w:t>
      </w:r>
      <w:r>
        <w:t>e may</w:t>
      </w:r>
      <w:r w:rsidR="00931CAC">
        <w:t>, however,</w:t>
      </w:r>
      <w:r>
        <w:t xml:space="preserve"> overlap with </w:t>
      </w:r>
      <w:r w:rsidR="005020CE">
        <w:t xml:space="preserve">the requirements for </w:t>
      </w:r>
      <w:r>
        <w:t>installation of other types of passive fire protection</w:t>
      </w:r>
      <w:r w:rsidR="004040D6">
        <w:t xml:space="preserve">. </w:t>
      </w:r>
      <w:r w:rsidR="00E7295F">
        <w:t>In addition, t</w:t>
      </w:r>
      <w:r w:rsidR="004040D6">
        <w:t xml:space="preserve">hose considered to be Specialist Firestopping Installers </w:t>
      </w:r>
      <w:r>
        <w:t xml:space="preserve">may also carry out other types of passive fire protection work. In all developments, consideration should be given to whether </w:t>
      </w:r>
      <w:r w:rsidR="00FB0F96">
        <w:t xml:space="preserve">alignment or </w:t>
      </w:r>
      <w:r>
        <w:t xml:space="preserve">aggregation of firestopping </w:t>
      </w:r>
      <w:r w:rsidR="00FB0F96">
        <w:t>with</w:t>
      </w:r>
      <w:r>
        <w:t xml:space="preserve"> other passive fire protection training opportunities and qualifications would offer a more holistic solution for the individuals who need to demonstrate their competence.</w:t>
      </w:r>
    </w:p>
    <w:p w14:paraId="6B368486" w14:textId="77777777" w:rsidR="00B568DD" w:rsidRDefault="00B568DD" w:rsidP="008D0247">
      <w:pPr>
        <w:pStyle w:val="Heading2"/>
      </w:pPr>
      <w:bookmarkStart w:id="12" w:name="_Toc136540373"/>
      <w:r>
        <w:t>Registration of competence</w:t>
      </w:r>
      <w:bookmarkEnd w:id="12"/>
    </w:p>
    <w:p w14:paraId="6D147F61" w14:textId="74C7C8AE" w:rsidR="009E4F44" w:rsidRDefault="00366116" w:rsidP="0049700F">
      <w:pPr>
        <w:pStyle w:val="BodyText1"/>
      </w:pPr>
      <w:r>
        <w:t xml:space="preserve">Due to </w:t>
      </w:r>
      <w:r w:rsidR="0025510C">
        <w:t xml:space="preserve">the </w:t>
      </w:r>
      <w:r w:rsidR="009B0757">
        <w:t xml:space="preserve">differing </w:t>
      </w:r>
      <w:r>
        <w:t>scope of activities between Specialist Firestopping Installers</w:t>
      </w:r>
      <w:r w:rsidR="00A8208D">
        <w:t xml:space="preserve">. </w:t>
      </w:r>
      <w:r w:rsidR="009B0757">
        <w:t xml:space="preserve">Any </w:t>
      </w:r>
      <w:r w:rsidR="00EA1D72">
        <w:t>record of competence needs to be flexible enough to provide granular information, clarifying the specific activities in which each individual has demonstrated competence.</w:t>
      </w:r>
      <w:r w:rsidR="005071EE">
        <w:t xml:space="preserve"> </w:t>
      </w:r>
      <w:r w:rsidR="00430B33">
        <w:t xml:space="preserve">As a result, </w:t>
      </w:r>
      <w:r w:rsidR="000F33DB">
        <w:t>it is clear that a single registration of competence at an occupational level is not fit for purpose in this case.</w:t>
      </w:r>
    </w:p>
    <w:p w14:paraId="42D89E18" w14:textId="7F7802E9" w:rsidR="00A16BD7" w:rsidRDefault="0049062E" w:rsidP="009B1690">
      <w:pPr>
        <w:pStyle w:val="BodyText1"/>
      </w:pPr>
      <w:r>
        <w:t xml:space="preserve">This points to the need for an industry-specific, activity-based register which can accommodate a sufficient level of detail to allow competence to be </w:t>
      </w:r>
      <w:r w:rsidR="00423BDC">
        <w:t>confirmed</w:t>
      </w:r>
      <w:r w:rsidR="0089456F">
        <w:t xml:space="preserve"> at activity level</w:t>
      </w:r>
      <w:r w:rsidR="00B83905">
        <w:t xml:space="preserve">. </w:t>
      </w:r>
      <w:r w:rsidR="00F86827">
        <w:t>Such an industry-specific register</w:t>
      </w:r>
      <w:r w:rsidR="00363C5B">
        <w:t xml:space="preserve"> will offer additional granularity and flexibility</w:t>
      </w:r>
      <w:r w:rsidR="00D42E61">
        <w:t xml:space="preserve"> and allow for </w:t>
      </w:r>
      <w:r w:rsidR="00217293">
        <w:t>the</w:t>
      </w:r>
      <w:r w:rsidR="00D42E61">
        <w:t xml:space="preserve"> inclusion of a range of inputs (</w:t>
      </w:r>
      <w:proofErr w:type="gramStart"/>
      <w:r w:rsidR="00D42E61">
        <w:t>e.g.</w:t>
      </w:r>
      <w:proofErr w:type="gramEnd"/>
      <w:r w:rsidR="00D42E61">
        <w:t xml:space="preserve"> training and qualifications) at different times</w:t>
      </w:r>
      <w:r w:rsidR="00117ECF">
        <w:t>.</w:t>
      </w:r>
    </w:p>
    <w:p w14:paraId="3F77A6A4" w14:textId="1F57C5D6" w:rsidR="001055E4" w:rsidRDefault="006A6F5C" w:rsidP="001055E4">
      <w:pPr>
        <w:pStyle w:val="BodyText1"/>
      </w:pPr>
      <w:r>
        <w:t xml:space="preserve">Employers </w:t>
      </w:r>
      <w:r w:rsidR="00217293">
        <w:t>will then be able to retain responsibility for defining the specific role of Specialist Firestopping Installer, Team Leader and Supervisor within their organisation</w:t>
      </w:r>
      <w:r w:rsidR="00A47627">
        <w:t xml:space="preserve"> and refer back to the register as </w:t>
      </w:r>
      <w:r w:rsidR="00225298" w:rsidRPr="00870FC9">
        <w:t>ev</w:t>
      </w:r>
      <w:r w:rsidR="00F424A2" w:rsidRPr="00870FC9">
        <w:t>idence of validation</w:t>
      </w:r>
      <w:r w:rsidR="00225298" w:rsidRPr="00870FC9">
        <w:t xml:space="preserve"> </w:t>
      </w:r>
      <w:r w:rsidR="00BD554F" w:rsidRPr="00870FC9">
        <w:t>of competence</w:t>
      </w:r>
      <w:r w:rsidR="00BD554F">
        <w:t xml:space="preserve"> in the activities identified.</w:t>
      </w:r>
      <w:r w:rsidR="001055E4" w:rsidRPr="001055E4">
        <w:t xml:space="preserve"> </w:t>
      </w:r>
      <w:r w:rsidR="001055E4">
        <w:t xml:space="preserve">This will allow for more accurate allocation of work to those who have demonstrated the specific competence to </w:t>
      </w:r>
      <w:r w:rsidR="003716E3">
        <w:t xml:space="preserve">undertake </w:t>
      </w:r>
      <w:r w:rsidR="001055E4">
        <w:t>it.</w:t>
      </w:r>
    </w:p>
    <w:p w14:paraId="4C22A824" w14:textId="40F53439" w:rsidR="00DE6C04" w:rsidRDefault="00DE6C04" w:rsidP="009B1690">
      <w:pPr>
        <w:pStyle w:val="BodyText1"/>
      </w:pPr>
      <w:r>
        <w:t xml:space="preserve">Consideration </w:t>
      </w:r>
      <w:r w:rsidR="006E31A3">
        <w:t>must also</w:t>
      </w:r>
      <w:r>
        <w:t xml:space="preserve"> be given to the whole scope of passive fire protection, so that shared competencies can be identified and built upon thereby reducing burden on employees and employers.</w:t>
      </w:r>
    </w:p>
    <w:p w14:paraId="2C04793C" w14:textId="1705DDCC" w:rsidR="008074BB" w:rsidRDefault="00403046" w:rsidP="009B1690">
      <w:pPr>
        <w:pStyle w:val="BodyText1"/>
      </w:pPr>
      <w:r>
        <w:t>Registration of competence</w:t>
      </w:r>
      <w:r w:rsidR="00617CA0">
        <w:t xml:space="preserve"> at occupation level</w:t>
      </w:r>
      <w:r>
        <w:t xml:space="preserve"> may also be valuable</w:t>
      </w:r>
      <w:r w:rsidR="00BE3FA8">
        <w:t xml:space="preserve">, particularly to </w:t>
      </w:r>
      <w:r w:rsidR="00C244AE" w:rsidRPr="00C244AE">
        <w:t>provid</w:t>
      </w:r>
      <w:r w:rsidR="00D15DA2">
        <w:t>e</w:t>
      </w:r>
      <w:r w:rsidR="00C244AE" w:rsidRPr="00C244AE">
        <w:t xml:space="preserve"> </w:t>
      </w:r>
      <w:proofErr w:type="spellStart"/>
      <w:r w:rsidR="00C244AE" w:rsidRPr="00C244AE">
        <w:t>intercompatibility</w:t>
      </w:r>
      <w:proofErr w:type="spellEnd"/>
      <w:r w:rsidR="00C244AE" w:rsidRPr="00C244AE">
        <w:t xml:space="preserve"> with other registration schemes</w:t>
      </w:r>
      <w:r w:rsidR="00B425D3">
        <w:t xml:space="preserve"> such as</w:t>
      </w:r>
      <w:r w:rsidR="00C60933">
        <w:t xml:space="preserve"> the CSCS </w:t>
      </w:r>
      <w:r w:rsidR="00C60933" w:rsidRPr="00C60933">
        <w:t>One Industry Logo</w:t>
      </w:r>
      <w:r w:rsidR="00C60933">
        <w:t xml:space="preserve"> action, </w:t>
      </w:r>
      <w:r w:rsidR="00C33D5F">
        <w:t>as recommended by the Construction Leadership Council (</w:t>
      </w:r>
      <w:proofErr w:type="spellStart"/>
      <w:r w:rsidR="00C33D5F">
        <w:t>CLC</w:t>
      </w:r>
      <w:proofErr w:type="spellEnd"/>
      <w:r w:rsidR="00C33D5F">
        <w:t>)</w:t>
      </w:r>
      <w:r w:rsidR="006837D0">
        <w:rPr>
          <w:rStyle w:val="FootnoteReference"/>
        </w:rPr>
        <w:footnoteReference w:id="6"/>
      </w:r>
      <w:r w:rsidR="006837D0">
        <w:t>.</w:t>
      </w:r>
      <w:r w:rsidR="00C60933">
        <w:t xml:space="preserve">, introduced </w:t>
      </w:r>
      <w:r w:rsidR="00001F85">
        <w:t xml:space="preserve">by the Construction </w:t>
      </w:r>
      <w:r w:rsidR="00001F85">
        <w:lastRenderedPageBreak/>
        <w:t>Leadership Council (</w:t>
      </w:r>
      <w:proofErr w:type="spellStart"/>
      <w:r w:rsidR="00001F85">
        <w:t>CLC</w:t>
      </w:r>
      <w:proofErr w:type="spellEnd"/>
      <w:r w:rsidR="00001F85">
        <w:t xml:space="preserve">) </w:t>
      </w:r>
      <w:r w:rsidR="00DB5AAF" w:rsidRPr="00DB5AAF">
        <w:t>via the Industrial Strategy: Construction 2025</w:t>
      </w:r>
      <w:r w:rsidR="00342D59">
        <w:rPr>
          <w:rStyle w:val="FootnoteReference"/>
        </w:rPr>
        <w:footnoteReference w:id="7"/>
      </w:r>
      <w:r w:rsidR="00DB5AAF">
        <w:t xml:space="preserve">. This </w:t>
      </w:r>
      <w:r w:rsidR="00C244AE" w:rsidRPr="00C244AE">
        <w:t>allow</w:t>
      </w:r>
      <w:r w:rsidR="00DB5AAF">
        <w:t>s</w:t>
      </w:r>
      <w:r w:rsidR="00C244AE" w:rsidRPr="00C244AE">
        <w:t xml:space="preserve"> identity and site access to be checked</w:t>
      </w:r>
      <w:r w:rsidR="00D70703">
        <w:t xml:space="preserve"> </w:t>
      </w:r>
      <w:r w:rsidR="00DB5AAF">
        <w:t xml:space="preserve">and </w:t>
      </w:r>
      <w:r w:rsidR="00490C24">
        <w:t xml:space="preserve">is designed to </w:t>
      </w:r>
      <w:r w:rsidR="00DB5AAF">
        <w:t>ensure all</w:t>
      </w:r>
      <w:r w:rsidR="00490C24">
        <w:t xml:space="preserve"> those</w:t>
      </w:r>
      <w:r w:rsidR="00DB5AAF">
        <w:t xml:space="preserve"> </w:t>
      </w:r>
      <w:r w:rsidR="00D049B7">
        <w:t>working predominantly on construction sites</w:t>
      </w:r>
      <w:r w:rsidR="00490C24">
        <w:t xml:space="preserve"> </w:t>
      </w:r>
      <w:r w:rsidR="00D049B7">
        <w:t>undertaking a recognised construction occupation</w:t>
      </w:r>
      <w:r w:rsidR="00C446C5">
        <w:t xml:space="preserve"> are suitably qualified.</w:t>
      </w:r>
      <w:r w:rsidR="00D470D8">
        <w:t xml:space="preserve"> </w:t>
      </w:r>
      <w:r w:rsidR="00937018">
        <w:t xml:space="preserve">During development, consideration should be given to the alignment between </w:t>
      </w:r>
      <w:r w:rsidR="00D470D8">
        <w:t xml:space="preserve">an industry-specific register of activity-based competence </w:t>
      </w:r>
      <w:r w:rsidR="00937018">
        <w:t>and</w:t>
      </w:r>
      <w:r w:rsidR="00D470D8">
        <w:t xml:space="preserve"> an</w:t>
      </w:r>
      <w:r w:rsidR="00937018">
        <w:t xml:space="preserve"> occupation-based register of qualifications.</w:t>
      </w:r>
    </w:p>
    <w:p w14:paraId="00BF5DF1" w14:textId="4DD799B6" w:rsidR="008074BB" w:rsidRDefault="008074BB" w:rsidP="009B1690">
      <w:pPr>
        <w:pStyle w:val="BodyText1"/>
      </w:pPr>
      <w:r>
        <w:t>F</w:t>
      </w:r>
      <w:r w:rsidRPr="008074BB">
        <w:t xml:space="preserve">eedback </w:t>
      </w:r>
      <w:r w:rsidR="000701A1">
        <w:t xml:space="preserve">also </w:t>
      </w:r>
      <w:r w:rsidRPr="008074BB">
        <w:t>suggests that not all of the work of Specialist Firestopping Installers is in scope of CSCS</w:t>
      </w:r>
      <w:r w:rsidR="00753680">
        <w:t xml:space="preserve">, </w:t>
      </w:r>
      <w:r w:rsidR="0037108C">
        <w:t xml:space="preserve">but that </w:t>
      </w:r>
      <w:r w:rsidR="00117C76">
        <w:t>the activity of th</w:t>
      </w:r>
      <w:r w:rsidR="007047AF">
        <w:t>o</w:t>
      </w:r>
      <w:r w:rsidR="00117C76">
        <w:t>se individuals s</w:t>
      </w:r>
      <w:r w:rsidR="0037108C">
        <w:t>till needs to</w:t>
      </w:r>
      <w:r w:rsidR="00117C76">
        <w:t xml:space="preserve"> be included in this approach. </w:t>
      </w:r>
    </w:p>
    <w:p w14:paraId="5C355B97" w14:textId="57672D33" w:rsidR="004D743B" w:rsidRPr="004B4C5F" w:rsidRDefault="004D743B" w:rsidP="001F6770">
      <w:pPr>
        <w:pStyle w:val="Heading1"/>
        <w:jc w:val="both"/>
      </w:pPr>
      <w:bookmarkStart w:id="13" w:name="_Ref136347729"/>
      <w:bookmarkStart w:id="14" w:name="_Toc136540374"/>
      <w:r w:rsidRPr="004B4C5F">
        <w:lastRenderedPageBreak/>
        <w:t>Functional map and framework of competencies</w:t>
      </w:r>
      <w:bookmarkEnd w:id="13"/>
      <w:bookmarkEnd w:id="14"/>
    </w:p>
    <w:p w14:paraId="482864E6" w14:textId="5D990040" w:rsidR="0034567E" w:rsidRDefault="0034567E" w:rsidP="0034567E">
      <w:pPr>
        <w:pStyle w:val="Heading2"/>
      </w:pPr>
      <w:bookmarkStart w:id="15" w:name="_Toc136540375"/>
      <w:r>
        <w:t>Development background</w:t>
      </w:r>
      <w:bookmarkEnd w:id="15"/>
    </w:p>
    <w:p w14:paraId="406C4642" w14:textId="57748FAB" w:rsidR="00EC70AE" w:rsidRDefault="00DD1D4D" w:rsidP="00BE0079">
      <w:pPr>
        <w:pStyle w:val="BodyText1"/>
      </w:pPr>
      <w:r>
        <w:t>A functional map has been created</w:t>
      </w:r>
      <w:r w:rsidR="007F37E4">
        <w:t xml:space="preserve"> which breaks down the </w:t>
      </w:r>
      <w:r w:rsidR="004A11AA">
        <w:t>work</w:t>
      </w:r>
      <w:r w:rsidR="007F37E4">
        <w:t xml:space="preserve"> carried out in firestopping installation</w:t>
      </w:r>
      <w:r w:rsidR="004A11AA">
        <w:t xml:space="preserve"> into discrete activities. </w:t>
      </w:r>
      <w:r w:rsidR="00625CEC">
        <w:t>These activities reflect the types of work that are undertaken and</w:t>
      </w:r>
      <w:r w:rsidR="00F04866">
        <w:t>,</w:t>
      </w:r>
      <w:r w:rsidR="00625CEC">
        <w:t xml:space="preserve"> where appropriate</w:t>
      </w:r>
      <w:r w:rsidR="00F04866">
        <w:t>,</w:t>
      </w:r>
      <w:r w:rsidR="00625CEC">
        <w:t xml:space="preserve"> </w:t>
      </w:r>
      <w:r w:rsidR="00A56DEC">
        <w:t>include differences</w:t>
      </w:r>
      <w:r w:rsidR="00625CEC">
        <w:t xml:space="preserve"> by product type</w:t>
      </w:r>
      <w:r w:rsidR="00D63884">
        <w:t xml:space="preserve"> (but not by </w:t>
      </w:r>
      <w:r w:rsidR="006A301C">
        <w:t>specific manufacturer or product range)</w:t>
      </w:r>
      <w:r w:rsidR="00625CEC">
        <w:t>.</w:t>
      </w:r>
    </w:p>
    <w:p w14:paraId="43A79E39" w14:textId="6D124FC1" w:rsidR="0028027F" w:rsidRDefault="00FE308E" w:rsidP="00BE0079">
      <w:pPr>
        <w:pStyle w:val="BodyText1"/>
      </w:pPr>
      <w:r>
        <w:t>Each activity has been assigned a level</w:t>
      </w:r>
      <w:r w:rsidR="006C38A1">
        <w:t>, according to its complexity. These levels have been benchmarked</w:t>
      </w:r>
      <w:r w:rsidR="005C0F1B">
        <w:t xml:space="preserve"> against national qualification</w:t>
      </w:r>
      <w:r w:rsidR="00456DA0">
        <w:t xml:space="preserve"> framework</w:t>
      </w:r>
      <w:r w:rsidR="005C0F1B">
        <w:t xml:space="preserve"> levels and other sector and professional frameworks. More information and level descript</w:t>
      </w:r>
      <w:r w:rsidR="00B77747">
        <w:t>ions</w:t>
      </w:r>
      <w:r w:rsidR="005C0F1B">
        <w:t xml:space="preserve"> can be found in</w:t>
      </w:r>
      <w:r w:rsidR="00744FCA">
        <w:t xml:space="preserve"> </w:t>
      </w:r>
      <w:r w:rsidR="00744FCA">
        <w:fldChar w:fldCharType="begin"/>
      </w:r>
      <w:r w:rsidR="00744FCA">
        <w:instrText xml:space="preserve"> REF _Ref136463936 \h </w:instrText>
      </w:r>
      <w:r w:rsidR="00744FCA">
        <w:fldChar w:fldCharType="separate"/>
      </w:r>
      <w:r w:rsidR="00744FCA">
        <w:t>Appendix 1 – Level descriptors</w:t>
      </w:r>
      <w:r w:rsidR="00744FCA">
        <w:fldChar w:fldCharType="end"/>
      </w:r>
      <w:r w:rsidR="00744FCA">
        <w:t>.</w:t>
      </w:r>
    </w:p>
    <w:p w14:paraId="568C9FF6" w14:textId="415CC548" w:rsidR="00174A29" w:rsidRDefault="00BA0AE6" w:rsidP="00BE0079">
      <w:pPr>
        <w:pStyle w:val="BodyText1"/>
      </w:pPr>
      <w:r>
        <w:t xml:space="preserve">Each activity has been broken down into </w:t>
      </w:r>
      <w:r w:rsidR="009D1096">
        <w:t>competency statements outlining the skills, knowledge, experience</w:t>
      </w:r>
      <w:r w:rsidR="00F05B7E">
        <w:t>,</w:t>
      </w:r>
      <w:r w:rsidR="009D1096">
        <w:t xml:space="preserve"> and behaviour</w:t>
      </w:r>
      <w:r w:rsidR="00837693">
        <w:t xml:space="preserve"> (</w:t>
      </w:r>
      <w:proofErr w:type="spellStart"/>
      <w:r w:rsidR="00837693">
        <w:t>SKEB</w:t>
      </w:r>
      <w:proofErr w:type="spellEnd"/>
      <w:r w:rsidR="00837693">
        <w:t>)</w:t>
      </w:r>
      <w:r w:rsidR="009D1096">
        <w:t xml:space="preserve"> required to perform that activity competentl</w:t>
      </w:r>
      <w:r w:rsidR="00837693">
        <w:t>y.</w:t>
      </w:r>
    </w:p>
    <w:p w14:paraId="60E5AA29" w14:textId="171A45FE" w:rsidR="00AB37C5" w:rsidRDefault="00AB37C5" w:rsidP="00BE0079">
      <w:pPr>
        <w:pStyle w:val="BodyText1"/>
      </w:pPr>
      <w:r>
        <w:t xml:space="preserve">Where existing competence descriptors are already available (for example, National Occupational Standards (NOS) </w:t>
      </w:r>
      <w:r w:rsidR="00E00509">
        <w:t xml:space="preserve">or </w:t>
      </w:r>
      <w:r>
        <w:t xml:space="preserve">industry training standards) these have been considered by the group throughout their development work. </w:t>
      </w:r>
      <w:r w:rsidR="004373BC">
        <w:t xml:space="preserve">The parts of these considered to be fit for purpose were adopted into the framework. Where not fit for purpose, statements were amended accordingly to create appropriate </w:t>
      </w:r>
      <w:proofErr w:type="spellStart"/>
      <w:r w:rsidR="004373BC">
        <w:t>SKEB</w:t>
      </w:r>
      <w:proofErr w:type="spellEnd"/>
      <w:r w:rsidR="004373BC">
        <w:t xml:space="preserve"> statements</w:t>
      </w:r>
      <w:r w:rsidR="008A4D22">
        <w:t>.</w:t>
      </w:r>
    </w:p>
    <w:p w14:paraId="31213B7A" w14:textId="6F801187" w:rsidR="004373BC" w:rsidRPr="004373BC" w:rsidRDefault="004373BC" w:rsidP="00BE0079">
      <w:pPr>
        <w:pStyle w:val="BodyText1"/>
      </w:pPr>
      <w:r>
        <w:t>Where no existing fit-for-purpose descriptors were available, input was sought from industry guidance documents</w:t>
      </w:r>
      <w:r w:rsidR="00086AB5">
        <w:t>, statements included in similar statements of competence from aligned sectors and/or occupations</w:t>
      </w:r>
      <w:r w:rsidR="0010000E">
        <w:t xml:space="preserve">, or other development work </w:t>
      </w:r>
      <w:r w:rsidR="00060500">
        <w:t>in relation to competence.</w:t>
      </w:r>
    </w:p>
    <w:p w14:paraId="6CF724BE" w14:textId="70CB0E02" w:rsidR="002D32E9" w:rsidRPr="00823BB7" w:rsidRDefault="002D32E9" w:rsidP="002D32E9">
      <w:pPr>
        <w:pStyle w:val="BodyText1"/>
      </w:pPr>
      <w:r>
        <w:t xml:space="preserve">Together, the functional map and </w:t>
      </w:r>
      <w:proofErr w:type="spellStart"/>
      <w:r>
        <w:t>SKEB</w:t>
      </w:r>
      <w:proofErr w:type="spellEnd"/>
      <w:r>
        <w:t xml:space="preserve"> statements set out the benchmark for competence which </w:t>
      </w:r>
      <w:r w:rsidR="00944CCC">
        <w:t>needs</w:t>
      </w:r>
      <w:r>
        <w:t xml:space="preserve"> to be met and are designed to be used in conjunction with the expectations of the standard for competence</w:t>
      </w:r>
      <w:r w:rsidR="00981C9E">
        <w:t xml:space="preserve"> set out in section </w:t>
      </w:r>
      <w:r w:rsidR="00981C9E">
        <w:fldChar w:fldCharType="begin"/>
      </w:r>
      <w:r w:rsidR="00981C9E">
        <w:instrText xml:space="preserve"> REF _Ref136346622 \r \h </w:instrText>
      </w:r>
      <w:r w:rsidR="00981C9E">
        <w:fldChar w:fldCharType="separate"/>
      </w:r>
      <w:r w:rsidR="001A2885">
        <w:t>4</w:t>
      </w:r>
      <w:r w:rsidR="00981C9E">
        <w:fldChar w:fldCharType="end"/>
      </w:r>
      <w:r>
        <w:t>. The routes to competence defined within that standard have been designed to demonstrate competence against this framework.</w:t>
      </w:r>
    </w:p>
    <w:p w14:paraId="3C432CD1" w14:textId="1ECC14E1" w:rsidR="0034567E" w:rsidRPr="004373BC" w:rsidRDefault="0034567E" w:rsidP="0034567E">
      <w:pPr>
        <w:pStyle w:val="Heading2"/>
      </w:pPr>
      <w:bookmarkStart w:id="16" w:name="_Toc136540376"/>
      <w:r>
        <w:t>The functional map and framework of competencies</w:t>
      </w:r>
      <w:bookmarkEnd w:id="16"/>
    </w:p>
    <w:p w14:paraId="1A4D9EAA" w14:textId="757D8C7E" w:rsidR="00837693" w:rsidRDefault="00837693" w:rsidP="00BE0079">
      <w:pPr>
        <w:pStyle w:val="BodyText1"/>
      </w:pPr>
      <w:r>
        <w:t xml:space="preserve">The detailed functional map and </w:t>
      </w:r>
      <w:proofErr w:type="spellStart"/>
      <w:r>
        <w:t>SKEB</w:t>
      </w:r>
      <w:proofErr w:type="spellEnd"/>
      <w:r>
        <w:t xml:space="preserve"> statements can be found </w:t>
      </w:r>
      <w:r w:rsidR="001C58EE">
        <w:t xml:space="preserve">in </w:t>
      </w:r>
      <w:r w:rsidR="001C58EE">
        <w:fldChar w:fldCharType="begin"/>
      </w:r>
      <w:r w:rsidR="001C58EE">
        <w:instrText xml:space="preserve"> REF _Ref136529668 \h </w:instrText>
      </w:r>
      <w:r w:rsidR="001C58EE">
        <w:fldChar w:fldCharType="separate"/>
      </w:r>
      <w:r w:rsidR="001B38B3">
        <w:t>appendix 2 – functional map and framework of competencies</w:t>
      </w:r>
      <w:r w:rsidR="001C58EE">
        <w:fldChar w:fldCharType="end"/>
      </w:r>
      <w:r w:rsidR="001C58EE">
        <w:t>.</w:t>
      </w:r>
    </w:p>
    <w:p w14:paraId="57005A6B" w14:textId="516D08FD" w:rsidR="002D32E9" w:rsidRDefault="002D32E9" w:rsidP="002D32E9">
      <w:pPr>
        <w:pStyle w:val="Heading2"/>
      </w:pPr>
      <w:bookmarkStart w:id="17" w:name="_Toc136540377"/>
      <w:r>
        <w:t>Mapping to other standards and frameworks</w:t>
      </w:r>
      <w:bookmarkEnd w:id="17"/>
    </w:p>
    <w:p w14:paraId="05711A01" w14:textId="0B3D94AB" w:rsidR="00E2137A" w:rsidRDefault="00625CEC" w:rsidP="00BE0079">
      <w:pPr>
        <w:pStyle w:val="BodyText1"/>
      </w:pPr>
      <w:r>
        <w:t xml:space="preserve">The </w:t>
      </w:r>
      <w:proofErr w:type="spellStart"/>
      <w:r>
        <w:t>SKEB</w:t>
      </w:r>
      <w:proofErr w:type="spellEnd"/>
      <w:r>
        <w:t xml:space="preserve"> statements developed have been mapped against BSI Flex 8670</w:t>
      </w:r>
      <w:r w:rsidR="00A6037D">
        <w:rPr>
          <w:rStyle w:val="FootnoteReference"/>
        </w:rPr>
        <w:footnoteReference w:id="8"/>
      </w:r>
      <w:r>
        <w:t xml:space="preserve"> and the emerging requirements for construction products competence as outlined in the </w:t>
      </w:r>
      <w:proofErr w:type="spellStart"/>
      <w:r>
        <w:t>WG12</w:t>
      </w:r>
      <w:proofErr w:type="spellEnd"/>
      <w:r>
        <w:t xml:space="preserve"> whitepaper</w:t>
      </w:r>
      <w:r w:rsidR="00F933E5">
        <w:rPr>
          <w:rStyle w:val="FootnoteReference"/>
        </w:rPr>
        <w:footnoteReference w:id="9"/>
      </w:r>
      <w:r>
        <w:t xml:space="preserve">. Details of that mapping can be found </w:t>
      </w:r>
      <w:r w:rsidR="001B38B3">
        <w:t>in</w:t>
      </w:r>
      <w:r w:rsidR="00D1076F">
        <w:t xml:space="preserve"> </w:t>
      </w:r>
      <w:r w:rsidR="00D1076F">
        <w:fldChar w:fldCharType="begin"/>
      </w:r>
      <w:r w:rsidR="00D1076F">
        <w:instrText xml:space="preserve"> REF _Ref136529996 \h </w:instrText>
      </w:r>
      <w:r w:rsidR="00D1076F">
        <w:fldChar w:fldCharType="separate"/>
      </w:r>
      <w:r w:rsidR="00D1076F">
        <w:t>appendix 3 – mapping</w:t>
      </w:r>
      <w:r w:rsidR="00D1076F">
        <w:fldChar w:fldCharType="end"/>
      </w:r>
      <w:r w:rsidR="001B38B3">
        <w:t xml:space="preserve">. </w:t>
      </w:r>
    </w:p>
    <w:p w14:paraId="6D5B3328" w14:textId="461DB463" w:rsidR="000B3C59" w:rsidRDefault="00676A2B" w:rsidP="00BE0079">
      <w:pPr>
        <w:pStyle w:val="BodyText1"/>
      </w:pPr>
      <w:r>
        <w:t>Consideration has also been given to the</w:t>
      </w:r>
      <w:r w:rsidR="005E25AE">
        <w:t xml:space="preserve"> contents of the</w:t>
      </w:r>
      <w:r w:rsidR="00491231">
        <w:t xml:space="preserve"> </w:t>
      </w:r>
      <w:r w:rsidR="005E25AE">
        <w:t>whitepaper</w:t>
      </w:r>
      <w:r w:rsidR="00FB6C24">
        <w:t xml:space="preserve"> </w:t>
      </w:r>
      <w:r w:rsidR="005E25AE">
        <w:t>by the Joint Competence Initiative for the Building Envelope Sector (</w:t>
      </w:r>
      <w:proofErr w:type="spellStart"/>
      <w:r w:rsidR="005E25AE">
        <w:t>JCI</w:t>
      </w:r>
      <w:proofErr w:type="spellEnd"/>
      <w:r w:rsidR="005E25AE">
        <w:t>)</w:t>
      </w:r>
      <w:r w:rsidR="005800C3">
        <w:t>, published in June 2023</w:t>
      </w:r>
      <w:r w:rsidR="00491231">
        <w:rPr>
          <w:rStyle w:val="FootnoteReference"/>
        </w:rPr>
        <w:footnoteReference w:id="10"/>
      </w:r>
      <w:r w:rsidR="005800C3">
        <w:t>.</w:t>
      </w:r>
    </w:p>
    <w:p w14:paraId="6687A66C" w14:textId="52DCA660" w:rsidR="00B6648B" w:rsidRDefault="00F05B7E" w:rsidP="001F6770">
      <w:pPr>
        <w:pStyle w:val="Heading1"/>
        <w:jc w:val="both"/>
      </w:pPr>
      <w:bookmarkStart w:id="18" w:name="_Ref136346622"/>
      <w:bookmarkStart w:id="19" w:name="_Toc136540378"/>
      <w:r>
        <w:lastRenderedPageBreak/>
        <w:t>The standard for competence</w:t>
      </w:r>
      <w:bookmarkEnd w:id="18"/>
      <w:bookmarkEnd w:id="19"/>
    </w:p>
    <w:p w14:paraId="395247F8" w14:textId="77777777" w:rsidR="009A50DE" w:rsidRPr="00D21CBC" w:rsidRDefault="009A50DE" w:rsidP="009A50DE">
      <w:pPr>
        <w:pStyle w:val="Heading2"/>
        <w:jc w:val="both"/>
      </w:pPr>
      <w:bookmarkStart w:id="20" w:name="_Toc136540379"/>
      <w:r>
        <w:t>Initial validation of competence</w:t>
      </w:r>
      <w:bookmarkEnd w:id="20"/>
    </w:p>
    <w:p w14:paraId="249FB84E" w14:textId="77777777" w:rsidR="009A50DE" w:rsidRDefault="009A50DE" w:rsidP="009A50DE">
      <w:pPr>
        <w:pStyle w:val="BodyText1"/>
      </w:pPr>
      <w:r>
        <w:t xml:space="preserve">Firestopping is considered to be critical activity in the construction, maintenance, and ongoing management of buildings. No specific legal requirements for validation or revalidation of competence in firestopping currently exist, however the Building Safety Act (2022) and associated legislation place an onus on individuals and employers to prove competence to work in critical activities in construction and the built environment. </w:t>
      </w:r>
    </w:p>
    <w:p w14:paraId="1E6E5F8E" w14:textId="77777777" w:rsidR="009A50DE" w:rsidRDefault="009A50DE" w:rsidP="009A50DE">
      <w:pPr>
        <w:pStyle w:val="BodyText1"/>
      </w:pPr>
      <w:r>
        <w:t xml:space="preserve">Competence should be validated through a passive fire protection industry-specific register, responsible for collecting evidence of individuals’ ability to perform specific activities as measured against the standards set out in section </w:t>
      </w:r>
      <w:r>
        <w:fldChar w:fldCharType="begin"/>
      </w:r>
      <w:r>
        <w:instrText xml:space="preserve"> REF _Ref136347729 \r \h </w:instrText>
      </w:r>
      <w:r>
        <w:fldChar w:fldCharType="separate"/>
      </w:r>
      <w:r>
        <w:t>3</w:t>
      </w:r>
      <w:r>
        <w:fldChar w:fldCharType="end"/>
      </w:r>
      <w:r>
        <w:t>.</w:t>
      </w:r>
    </w:p>
    <w:p w14:paraId="0B548E8D" w14:textId="77777777" w:rsidR="009A50DE" w:rsidRDefault="009A50DE" w:rsidP="009A50DE">
      <w:pPr>
        <w:pStyle w:val="BodyText1"/>
      </w:pPr>
      <w:r>
        <w:t xml:space="preserve">Evidence should be provided that the requirements for competence have been met in the activities related to an individual’s job role, through one of the routes to competence outlined in section </w:t>
      </w:r>
      <w:r>
        <w:fldChar w:fldCharType="begin"/>
      </w:r>
      <w:r>
        <w:instrText xml:space="preserve"> REF _Ref134194718 \r \h </w:instrText>
      </w:r>
      <w:r>
        <w:fldChar w:fldCharType="separate"/>
      </w:r>
      <w:r>
        <w:t>4.2</w:t>
      </w:r>
      <w:r>
        <w:fldChar w:fldCharType="end"/>
      </w:r>
      <w:r>
        <w:t>. This will be through a combination of:</w:t>
      </w:r>
    </w:p>
    <w:p w14:paraId="45ED6108" w14:textId="77777777" w:rsidR="009A50DE" w:rsidRDefault="009A50DE" w:rsidP="009A50DE">
      <w:pPr>
        <w:pStyle w:val="ListParagraph"/>
        <w:numPr>
          <w:ilvl w:val="0"/>
          <w:numId w:val="21"/>
        </w:numPr>
        <w:jc w:val="both"/>
      </w:pPr>
      <w:r>
        <w:t>qualification achievement (and associated training where specified)</w:t>
      </w:r>
    </w:p>
    <w:p w14:paraId="3EB05762" w14:textId="77777777" w:rsidR="009A50DE" w:rsidRDefault="009A50DE" w:rsidP="009A50DE">
      <w:pPr>
        <w:pStyle w:val="ListParagraph"/>
        <w:numPr>
          <w:ilvl w:val="0"/>
          <w:numId w:val="21"/>
        </w:numPr>
        <w:jc w:val="both"/>
      </w:pPr>
      <w:r>
        <w:t>additional specific training / assessment and qualification units</w:t>
      </w:r>
    </w:p>
    <w:p w14:paraId="0E151E86" w14:textId="77777777" w:rsidR="009A50DE" w:rsidRDefault="009A50DE" w:rsidP="009A50DE">
      <w:pPr>
        <w:pStyle w:val="ListParagraph"/>
        <w:numPr>
          <w:ilvl w:val="0"/>
          <w:numId w:val="21"/>
        </w:numPr>
        <w:jc w:val="both"/>
      </w:pPr>
      <w:r>
        <w:t>demonstration of experience</w:t>
      </w:r>
    </w:p>
    <w:p w14:paraId="5B40BEF0" w14:textId="77777777" w:rsidR="009A50DE" w:rsidRDefault="009A50DE" w:rsidP="009A50DE">
      <w:pPr>
        <w:pStyle w:val="ListParagraph"/>
        <w:numPr>
          <w:ilvl w:val="0"/>
          <w:numId w:val="21"/>
        </w:numPr>
        <w:jc w:val="both"/>
      </w:pPr>
      <w:r>
        <w:t>demonstration of compliance with behavioural requirements</w:t>
      </w:r>
    </w:p>
    <w:p w14:paraId="317426FC" w14:textId="77777777" w:rsidR="009A50DE" w:rsidDel="009A50DE" w:rsidRDefault="00DC1AC0" w:rsidP="009A50DE">
      <w:pPr>
        <w:pStyle w:val="BodyText1"/>
      </w:pPr>
      <w:r>
        <w:t xml:space="preserve">It should </w:t>
      </w:r>
      <w:r w:rsidR="00703F16">
        <w:t xml:space="preserve">also </w:t>
      </w:r>
      <w:r>
        <w:t xml:space="preserve">be noted that further development will be required to put those routes to competence in place. </w:t>
      </w:r>
      <w:r w:rsidR="009A50DE">
        <w:t xml:space="preserve">Until the point where new routes to competence are available, transitional arrangements may need to be put in place to facilitate validation of competence as an interim measure. </w:t>
      </w:r>
    </w:p>
    <w:p w14:paraId="6C976B2E" w14:textId="2E0BC145" w:rsidR="009A50DE" w:rsidRDefault="00D33F42" w:rsidP="009A50DE">
      <w:pPr>
        <w:pStyle w:val="BodyText1"/>
      </w:pPr>
      <w:r>
        <w:t>Where necessary this industry-specific register will share information with other third-party registers, for example CSCS for the purposes of site access.</w:t>
      </w:r>
    </w:p>
    <w:p w14:paraId="71A579C9" w14:textId="77777777" w:rsidR="009A50DE" w:rsidRDefault="009A50DE" w:rsidP="009A50DE">
      <w:pPr>
        <w:pStyle w:val="Heading2"/>
        <w:jc w:val="both"/>
      </w:pPr>
      <w:bookmarkStart w:id="21" w:name="_Toc136540380"/>
      <w:r>
        <w:t>Revalidation of competence</w:t>
      </w:r>
      <w:bookmarkEnd w:id="21"/>
    </w:p>
    <w:p w14:paraId="743E0FCC" w14:textId="77777777" w:rsidR="009A50DE" w:rsidRDefault="009A50DE" w:rsidP="009A50DE">
      <w:pPr>
        <w:pStyle w:val="BodyText1"/>
      </w:pPr>
      <w:r>
        <w:t>Competence should be revalidated at least once every 4 years.</w:t>
      </w:r>
    </w:p>
    <w:p w14:paraId="0BF10803" w14:textId="77777777" w:rsidR="009A50DE" w:rsidRDefault="009A50DE" w:rsidP="009A50DE">
      <w:pPr>
        <w:pStyle w:val="BodyText1"/>
      </w:pPr>
      <w:r>
        <w:t>Revalidation should be made on the basis of continuing compliance with the requirements for each activity, as set out in the routes to competence. This includes any requirements set out for:</w:t>
      </w:r>
    </w:p>
    <w:p w14:paraId="38CD1B28" w14:textId="77777777" w:rsidR="009A50DE" w:rsidRDefault="009A50DE" w:rsidP="009A50DE">
      <w:pPr>
        <w:pStyle w:val="ListParagraph"/>
        <w:numPr>
          <w:ilvl w:val="0"/>
          <w:numId w:val="22"/>
        </w:numPr>
        <w:jc w:val="both"/>
      </w:pPr>
      <w:r>
        <w:t>Ongoing demonstration of experience</w:t>
      </w:r>
    </w:p>
    <w:p w14:paraId="2F978C9F" w14:textId="77777777" w:rsidR="009A50DE" w:rsidRDefault="009A50DE" w:rsidP="009A50DE">
      <w:pPr>
        <w:pStyle w:val="ListParagraph"/>
        <w:numPr>
          <w:ilvl w:val="0"/>
          <w:numId w:val="22"/>
        </w:numPr>
        <w:jc w:val="both"/>
      </w:pPr>
      <w:r>
        <w:t>Ongoing demonstration of behaviour</w:t>
      </w:r>
    </w:p>
    <w:p w14:paraId="63FA875A" w14:textId="77777777" w:rsidR="009A50DE" w:rsidRDefault="009A50DE" w:rsidP="009A50DE">
      <w:pPr>
        <w:pStyle w:val="ListParagraph"/>
        <w:numPr>
          <w:ilvl w:val="0"/>
          <w:numId w:val="22"/>
        </w:numPr>
        <w:jc w:val="both"/>
      </w:pPr>
      <w:r>
        <w:t>Knowledge and / or skills based continuing professional development (CPD)</w:t>
      </w:r>
    </w:p>
    <w:p w14:paraId="1D276E80" w14:textId="77777777" w:rsidR="009A50DE" w:rsidRPr="00F85760" w:rsidRDefault="009A50DE" w:rsidP="009A50DE">
      <w:pPr>
        <w:pStyle w:val="ListParagraph"/>
        <w:numPr>
          <w:ilvl w:val="0"/>
          <w:numId w:val="22"/>
        </w:numPr>
        <w:jc w:val="both"/>
      </w:pPr>
      <w:r>
        <w:t xml:space="preserve">Potential additional knowledge and / or skills requirements resulting from future changes to the competence </w:t>
      </w:r>
      <w:proofErr w:type="gramStart"/>
      <w:r>
        <w:t>definitions</w:t>
      </w:r>
      <w:proofErr w:type="gramEnd"/>
    </w:p>
    <w:p w14:paraId="0CC6E012" w14:textId="77777777" w:rsidR="009A50DE" w:rsidRDefault="009A50DE" w:rsidP="009A50DE">
      <w:pPr>
        <w:pStyle w:val="Heading2"/>
      </w:pPr>
      <w:bookmarkStart w:id="22" w:name="_Toc136540381"/>
      <w:r>
        <w:t xml:space="preserve">Ability to check competence of individuals validated against the </w:t>
      </w:r>
      <w:proofErr w:type="gramStart"/>
      <w:r>
        <w:t>framework</w:t>
      </w:r>
      <w:bookmarkEnd w:id="22"/>
      <w:proofErr w:type="gramEnd"/>
    </w:p>
    <w:p w14:paraId="448ED586" w14:textId="77777777" w:rsidR="009A50DE" w:rsidRPr="006A72D1" w:rsidRDefault="009A50DE" w:rsidP="009A50DE">
      <w:pPr>
        <w:pStyle w:val="BodyText1"/>
      </w:pPr>
      <w:r>
        <w:t>Employers, individuals, and necessary third parties will be able to validate competence of individuals through the industry-specific register for the purposes of carrying out checks on organisational capability or determining appropriate competence for work. Any such register will operate in accordance with current data protection legislation.</w:t>
      </w:r>
    </w:p>
    <w:p w14:paraId="381B229B" w14:textId="19BD51A2" w:rsidR="008E597F" w:rsidRDefault="008E597F" w:rsidP="008E597F">
      <w:pPr>
        <w:pStyle w:val="Heading2"/>
      </w:pPr>
      <w:bookmarkStart w:id="23" w:name="_Toc136540382"/>
      <w:r>
        <w:lastRenderedPageBreak/>
        <w:t>Target audiences</w:t>
      </w:r>
      <w:bookmarkEnd w:id="23"/>
    </w:p>
    <w:p w14:paraId="355FEFF5" w14:textId="7E50C8D3" w:rsidR="00CF56AD" w:rsidRDefault="00CF56AD" w:rsidP="008A504E">
      <w:pPr>
        <w:pStyle w:val="BodyText1"/>
        <w:keepNext/>
      </w:pPr>
      <w:r>
        <w:t>Th</w:t>
      </w:r>
      <w:r w:rsidR="00C442F0">
        <w:t>is</w:t>
      </w:r>
      <w:r>
        <w:t xml:space="preserve"> standard for competence is intended to address the needs of the following Specialist Firestopping occupations, with </w:t>
      </w:r>
      <w:r w:rsidR="00C442F0">
        <w:t xml:space="preserve">the associated recommended entry </w:t>
      </w:r>
      <w:r>
        <w:t>routes.</w:t>
      </w:r>
    </w:p>
    <w:p w14:paraId="3E1D6E1E" w14:textId="1BDC6F1C" w:rsidR="00172AAC" w:rsidRDefault="00172AAC" w:rsidP="008E597F">
      <w:pPr>
        <w:pStyle w:val="BodyText1"/>
      </w:pPr>
    </w:p>
    <w:tbl>
      <w:tblPr>
        <w:tblStyle w:val="TableGrid"/>
        <w:tblW w:w="9067" w:type="dxa"/>
        <w:tblLook w:val="04A0" w:firstRow="1" w:lastRow="0" w:firstColumn="1" w:lastColumn="0" w:noHBand="0" w:noVBand="1"/>
      </w:tblPr>
      <w:tblGrid>
        <w:gridCol w:w="1838"/>
        <w:gridCol w:w="4253"/>
        <w:gridCol w:w="2976"/>
      </w:tblGrid>
      <w:tr w:rsidR="008E597F" w14:paraId="1A37FCBA" w14:textId="77777777">
        <w:tc>
          <w:tcPr>
            <w:tcW w:w="1838" w:type="dxa"/>
            <w:shd w:val="clear" w:color="auto" w:fill="D9D9D9" w:themeFill="background1" w:themeFillShade="D9"/>
          </w:tcPr>
          <w:p w14:paraId="53784439" w14:textId="65683C72" w:rsidR="008E597F" w:rsidRPr="00AC0A7A" w:rsidRDefault="008E597F">
            <w:pPr>
              <w:pStyle w:val="BodyText1"/>
            </w:pPr>
            <w:r>
              <w:t xml:space="preserve"> </w:t>
            </w:r>
            <w:r w:rsidRPr="00AC0A7A">
              <w:t>Occupation</w:t>
            </w:r>
          </w:p>
        </w:tc>
        <w:tc>
          <w:tcPr>
            <w:tcW w:w="4253" w:type="dxa"/>
            <w:shd w:val="clear" w:color="auto" w:fill="D9D9D9" w:themeFill="background1" w:themeFillShade="D9"/>
          </w:tcPr>
          <w:p w14:paraId="47DE238F" w14:textId="77777777" w:rsidR="008E597F" w:rsidRPr="00AC0A7A" w:rsidRDefault="008E597F">
            <w:pPr>
              <w:pStyle w:val="BodyText1"/>
            </w:pPr>
            <w:r w:rsidRPr="00AC0A7A">
              <w:t>Occupational description</w:t>
            </w:r>
          </w:p>
        </w:tc>
        <w:tc>
          <w:tcPr>
            <w:tcW w:w="2976" w:type="dxa"/>
            <w:shd w:val="clear" w:color="auto" w:fill="D9D9D9" w:themeFill="background1" w:themeFillShade="D9"/>
          </w:tcPr>
          <w:p w14:paraId="30071186" w14:textId="77777777" w:rsidR="008E597F" w:rsidRPr="00AC0A7A" w:rsidRDefault="008E597F">
            <w:pPr>
              <w:pStyle w:val="BodyText1"/>
            </w:pPr>
            <w:r w:rsidRPr="00AC0A7A">
              <w:t>Route</w:t>
            </w:r>
          </w:p>
        </w:tc>
      </w:tr>
      <w:tr w:rsidR="008E597F" w14:paraId="22214471" w14:textId="77777777">
        <w:tc>
          <w:tcPr>
            <w:tcW w:w="1838" w:type="dxa"/>
            <w:vMerge w:val="restart"/>
            <w:vAlign w:val="center"/>
          </w:tcPr>
          <w:p w14:paraId="70E72423" w14:textId="77777777" w:rsidR="008E597F" w:rsidRDefault="008E597F">
            <w:r>
              <w:t>Specialist F</w:t>
            </w:r>
            <w:r w:rsidRPr="001C4A7E">
              <w:t>irestopping Installer</w:t>
            </w:r>
          </w:p>
        </w:tc>
        <w:tc>
          <w:tcPr>
            <w:tcW w:w="4253" w:type="dxa"/>
            <w:vMerge w:val="restart"/>
            <w:vAlign w:val="center"/>
          </w:tcPr>
          <w:p w14:paraId="6E62583C" w14:textId="77777777" w:rsidR="008E597F" w:rsidRDefault="008E597F">
            <w:r w:rsidRPr="001C4A7E">
              <w:t>Someone carrying out firestopping installation activities on a day-to-day basis, as the core of their scope of work.</w:t>
            </w:r>
          </w:p>
        </w:tc>
        <w:tc>
          <w:tcPr>
            <w:tcW w:w="2976" w:type="dxa"/>
            <w:vAlign w:val="center"/>
          </w:tcPr>
          <w:p w14:paraId="4DDFEA03" w14:textId="77777777" w:rsidR="008E597F" w:rsidRDefault="008E597F">
            <w:r>
              <w:t>New entrant – Apprentice</w:t>
            </w:r>
          </w:p>
        </w:tc>
      </w:tr>
      <w:tr w:rsidR="008E597F" w14:paraId="69149949" w14:textId="77777777">
        <w:tc>
          <w:tcPr>
            <w:tcW w:w="1838" w:type="dxa"/>
            <w:vMerge/>
          </w:tcPr>
          <w:p w14:paraId="714B643C" w14:textId="77777777" w:rsidR="008E597F" w:rsidRDefault="008E597F"/>
        </w:tc>
        <w:tc>
          <w:tcPr>
            <w:tcW w:w="4253" w:type="dxa"/>
            <w:vMerge/>
          </w:tcPr>
          <w:p w14:paraId="7451530C" w14:textId="77777777" w:rsidR="008E597F" w:rsidRDefault="008E597F"/>
        </w:tc>
        <w:tc>
          <w:tcPr>
            <w:tcW w:w="2976" w:type="dxa"/>
            <w:vAlign w:val="center"/>
          </w:tcPr>
          <w:p w14:paraId="6EEBD9EF" w14:textId="77777777" w:rsidR="008E597F" w:rsidRDefault="008E597F">
            <w:r>
              <w:t>New entrant - unskilled</w:t>
            </w:r>
          </w:p>
        </w:tc>
      </w:tr>
      <w:tr w:rsidR="008E597F" w14:paraId="41D9F6E3" w14:textId="77777777">
        <w:tc>
          <w:tcPr>
            <w:tcW w:w="1838" w:type="dxa"/>
            <w:vMerge/>
          </w:tcPr>
          <w:p w14:paraId="56498246" w14:textId="77777777" w:rsidR="008E597F" w:rsidRDefault="008E597F"/>
        </w:tc>
        <w:tc>
          <w:tcPr>
            <w:tcW w:w="4253" w:type="dxa"/>
            <w:vMerge/>
          </w:tcPr>
          <w:p w14:paraId="5D17A1D4" w14:textId="77777777" w:rsidR="008E597F" w:rsidRDefault="008E597F"/>
        </w:tc>
        <w:tc>
          <w:tcPr>
            <w:tcW w:w="2976" w:type="dxa"/>
            <w:vAlign w:val="center"/>
          </w:tcPr>
          <w:p w14:paraId="6EA81928" w14:textId="77777777" w:rsidR="008E597F" w:rsidRDefault="008E597F">
            <w:r>
              <w:t>New entrant - partially-s</w:t>
            </w:r>
            <w:r w:rsidRPr="001C4A7E">
              <w:t>killed</w:t>
            </w:r>
            <w:r>
              <w:t xml:space="preserve"> </w:t>
            </w:r>
          </w:p>
        </w:tc>
      </w:tr>
      <w:tr w:rsidR="008E597F" w14:paraId="2583CA87" w14:textId="77777777">
        <w:tc>
          <w:tcPr>
            <w:tcW w:w="1838" w:type="dxa"/>
            <w:vMerge/>
          </w:tcPr>
          <w:p w14:paraId="61E136E8" w14:textId="77777777" w:rsidR="008E597F" w:rsidRDefault="008E597F"/>
        </w:tc>
        <w:tc>
          <w:tcPr>
            <w:tcW w:w="4253" w:type="dxa"/>
            <w:vMerge/>
          </w:tcPr>
          <w:p w14:paraId="18045752" w14:textId="77777777" w:rsidR="008E597F" w:rsidRDefault="008E597F"/>
        </w:tc>
        <w:tc>
          <w:tcPr>
            <w:tcW w:w="2976" w:type="dxa"/>
            <w:vAlign w:val="center"/>
          </w:tcPr>
          <w:p w14:paraId="7996B3FC" w14:textId="77777777" w:rsidR="008E597F" w:rsidRDefault="008E597F">
            <w:r w:rsidRPr="001C4A7E">
              <w:t>Experienced worker</w:t>
            </w:r>
          </w:p>
        </w:tc>
      </w:tr>
      <w:tr w:rsidR="008E597F" w14:paraId="6B9D8F57" w14:textId="77777777">
        <w:trPr>
          <w:trHeight w:val="905"/>
        </w:trPr>
        <w:tc>
          <w:tcPr>
            <w:tcW w:w="1838" w:type="dxa"/>
            <w:vMerge w:val="restart"/>
            <w:vAlign w:val="center"/>
          </w:tcPr>
          <w:p w14:paraId="4BFD59CF" w14:textId="77777777" w:rsidR="008E597F" w:rsidRPr="00231714" w:rsidRDefault="008E597F">
            <w:pPr>
              <w:rPr>
                <w:vertAlign w:val="superscript"/>
              </w:rPr>
            </w:pPr>
            <w:r>
              <w:t xml:space="preserve">Specialist </w:t>
            </w:r>
            <w:r w:rsidRPr="001C4A7E">
              <w:t>Firestopping Team Leader</w:t>
            </w:r>
            <w:r>
              <w:rPr>
                <w:vertAlign w:val="superscript"/>
              </w:rPr>
              <w:t>*</w:t>
            </w:r>
          </w:p>
        </w:tc>
        <w:tc>
          <w:tcPr>
            <w:tcW w:w="4253" w:type="dxa"/>
            <w:vMerge w:val="restart"/>
            <w:vAlign w:val="center"/>
          </w:tcPr>
          <w:p w14:paraId="516B3FF3" w14:textId="77777777" w:rsidR="008E597F" w:rsidRDefault="008E597F">
            <w:r w:rsidRPr="001C4A7E">
              <w:t xml:space="preserve">A person with responsibility for leading the work of one firestopping team. This would include monitoring and supporting team members still building their competence in firestopping activities. Team Leaders </w:t>
            </w:r>
            <w:proofErr w:type="gramStart"/>
            <w:r w:rsidRPr="001C4A7E">
              <w:t>are</w:t>
            </w:r>
            <w:proofErr w:type="gramEnd"/>
            <w:r w:rsidRPr="001C4A7E">
              <w:t xml:space="preserve"> also responsible for carrying out their own installation work.</w:t>
            </w:r>
          </w:p>
        </w:tc>
        <w:tc>
          <w:tcPr>
            <w:tcW w:w="2976" w:type="dxa"/>
            <w:vAlign w:val="center"/>
          </w:tcPr>
          <w:p w14:paraId="1A8140BF" w14:textId="77777777" w:rsidR="008E597F" w:rsidRDefault="008E597F">
            <w:proofErr w:type="spellStart"/>
            <w:r w:rsidRPr="001C4A7E">
              <w:t>Upskiller</w:t>
            </w:r>
            <w:proofErr w:type="spellEnd"/>
          </w:p>
        </w:tc>
      </w:tr>
      <w:tr w:rsidR="008E597F" w14:paraId="1AEEFFAD" w14:textId="77777777">
        <w:trPr>
          <w:trHeight w:val="1239"/>
        </w:trPr>
        <w:tc>
          <w:tcPr>
            <w:tcW w:w="1838" w:type="dxa"/>
            <w:vMerge/>
          </w:tcPr>
          <w:p w14:paraId="1690E00A" w14:textId="77777777" w:rsidR="008E597F" w:rsidRDefault="008E597F"/>
        </w:tc>
        <w:tc>
          <w:tcPr>
            <w:tcW w:w="4253" w:type="dxa"/>
            <w:vMerge/>
          </w:tcPr>
          <w:p w14:paraId="4EEF949B" w14:textId="77777777" w:rsidR="008E597F" w:rsidRDefault="008E597F"/>
        </w:tc>
        <w:tc>
          <w:tcPr>
            <w:tcW w:w="2976" w:type="dxa"/>
            <w:vAlign w:val="center"/>
          </w:tcPr>
          <w:p w14:paraId="5824E842" w14:textId="77777777" w:rsidR="008E597F" w:rsidRDefault="008E597F">
            <w:r w:rsidRPr="001C4A7E">
              <w:t>Experienced worker</w:t>
            </w:r>
          </w:p>
        </w:tc>
      </w:tr>
      <w:tr w:rsidR="008E597F" w14:paraId="2936652B" w14:textId="77777777">
        <w:trPr>
          <w:trHeight w:val="990"/>
        </w:trPr>
        <w:tc>
          <w:tcPr>
            <w:tcW w:w="1838" w:type="dxa"/>
            <w:vMerge w:val="restart"/>
            <w:vAlign w:val="center"/>
          </w:tcPr>
          <w:p w14:paraId="5DD33F33" w14:textId="77777777" w:rsidR="008E597F" w:rsidRDefault="008E597F">
            <w:r>
              <w:t>Specialist</w:t>
            </w:r>
          </w:p>
          <w:p w14:paraId="0C2C7FF1" w14:textId="77777777" w:rsidR="008E597F" w:rsidRPr="00231714" w:rsidRDefault="008E597F">
            <w:pPr>
              <w:rPr>
                <w:vertAlign w:val="superscript"/>
              </w:rPr>
            </w:pPr>
            <w:r w:rsidRPr="001C4A7E">
              <w:t>Firestopping Supervisor</w:t>
            </w:r>
            <w:r>
              <w:rPr>
                <w:vertAlign w:val="superscript"/>
              </w:rPr>
              <w:t>*</w:t>
            </w:r>
          </w:p>
        </w:tc>
        <w:tc>
          <w:tcPr>
            <w:tcW w:w="4253" w:type="dxa"/>
            <w:vMerge w:val="restart"/>
            <w:vAlign w:val="center"/>
          </w:tcPr>
          <w:p w14:paraId="2234F00F" w14:textId="77777777" w:rsidR="008E597F" w:rsidRDefault="008E597F">
            <w:r w:rsidRPr="001C4A7E">
              <w:t>A person with responsibility for overseeing the work of more than one team of firestopping installers on site. This includes supervising the work of installer teams and monitoring the quality of installations on site. Firestopping supervisors may or may not carry out installation work.</w:t>
            </w:r>
          </w:p>
        </w:tc>
        <w:tc>
          <w:tcPr>
            <w:tcW w:w="2976" w:type="dxa"/>
            <w:vAlign w:val="center"/>
          </w:tcPr>
          <w:p w14:paraId="63EA2911" w14:textId="77777777" w:rsidR="008E597F" w:rsidRDefault="008E597F">
            <w:proofErr w:type="spellStart"/>
            <w:r w:rsidRPr="001C4A7E">
              <w:t>Upskiller</w:t>
            </w:r>
            <w:proofErr w:type="spellEnd"/>
          </w:p>
        </w:tc>
      </w:tr>
      <w:tr w:rsidR="008E597F" w14:paraId="699BC4BE" w14:textId="77777777">
        <w:trPr>
          <w:trHeight w:val="1271"/>
        </w:trPr>
        <w:tc>
          <w:tcPr>
            <w:tcW w:w="1838" w:type="dxa"/>
            <w:vMerge/>
          </w:tcPr>
          <w:p w14:paraId="26D3DCFE" w14:textId="77777777" w:rsidR="008E597F" w:rsidRDefault="008E597F"/>
        </w:tc>
        <w:tc>
          <w:tcPr>
            <w:tcW w:w="4253" w:type="dxa"/>
            <w:vMerge/>
          </w:tcPr>
          <w:p w14:paraId="28D1C2DC" w14:textId="77777777" w:rsidR="008E597F" w:rsidRDefault="008E597F"/>
        </w:tc>
        <w:tc>
          <w:tcPr>
            <w:tcW w:w="2976" w:type="dxa"/>
            <w:vAlign w:val="center"/>
          </w:tcPr>
          <w:p w14:paraId="122D2972" w14:textId="77777777" w:rsidR="008E597F" w:rsidRDefault="008E597F">
            <w:r w:rsidRPr="001C4A7E">
              <w:t>Experienced worker</w:t>
            </w:r>
          </w:p>
        </w:tc>
      </w:tr>
    </w:tbl>
    <w:p w14:paraId="4371918B" w14:textId="77777777" w:rsidR="008E597F" w:rsidRPr="00DF18FF" w:rsidRDefault="008E597F" w:rsidP="008E597F">
      <w:pPr>
        <w:jc w:val="both"/>
      </w:pPr>
      <w:r>
        <w:t>*</w:t>
      </w:r>
      <w:r w:rsidRPr="00BE4CBE">
        <w:rPr>
          <w:sz w:val="16"/>
          <w:szCs w:val="16"/>
        </w:rPr>
        <w:t>Note</w:t>
      </w:r>
      <w:r>
        <w:rPr>
          <w:sz w:val="16"/>
          <w:szCs w:val="16"/>
        </w:rPr>
        <w:t xml:space="preserve"> </w:t>
      </w:r>
      <w:r w:rsidRPr="00BE4CBE">
        <w:rPr>
          <w:sz w:val="16"/>
          <w:szCs w:val="16"/>
        </w:rPr>
        <w:t>that it was identified by the group that progression to Team Leader and Supervisory roles is made from the installer population and, as such, no direct entry route has currently been set out for these occupations.</w:t>
      </w:r>
    </w:p>
    <w:p w14:paraId="4DE76495" w14:textId="27B15E8A" w:rsidR="007A22EB" w:rsidRDefault="00AA3E9E" w:rsidP="00D83CCC">
      <w:pPr>
        <w:pStyle w:val="BodyText1"/>
      </w:pPr>
      <w:r>
        <w:t>I</w:t>
      </w:r>
      <w:r w:rsidR="00D83CCC">
        <w:t xml:space="preserve">ndividuals will </w:t>
      </w:r>
      <w:r w:rsidR="007A22EB">
        <w:t>need to meet the requirements set out in the framework of competencies</w:t>
      </w:r>
      <w:r w:rsidR="007464B7">
        <w:t xml:space="preserve"> (section </w:t>
      </w:r>
      <w:r w:rsidR="007464B7">
        <w:fldChar w:fldCharType="begin"/>
      </w:r>
      <w:r w:rsidR="007464B7">
        <w:instrText xml:space="preserve"> REF _Ref136347729 \r \h </w:instrText>
      </w:r>
      <w:r w:rsidR="007464B7">
        <w:fldChar w:fldCharType="separate"/>
      </w:r>
      <w:r w:rsidR="001A2885">
        <w:t>3</w:t>
      </w:r>
      <w:r w:rsidR="007464B7">
        <w:fldChar w:fldCharType="end"/>
      </w:r>
      <w:r w:rsidR="007464B7">
        <w:t>)</w:t>
      </w:r>
      <w:r w:rsidR="007A22EB">
        <w:t xml:space="preserve"> for activities relevant to their </w:t>
      </w:r>
      <w:r w:rsidR="0054488B">
        <w:t xml:space="preserve">specific </w:t>
      </w:r>
      <w:r w:rsidR="007A22EB">
        <w:t>job role.</w:t>
      </w:r>
      <w:r w:rsidR="00D83CCC">
        <w:t xml:space="preserve"> </w:t>
      </w:r>
      <w:r w:rsidR="00810671">
        <w:t>The routes to competence</w:t>
      </w:r>
      <w:r w:rsidR="00B862A5">
        <w:t xml:space="preserve"> described in section</w:t>
      </w:r>
      <w:r w:rsidR="00EF1551">
        <w:t xml:space="preserve"> </w:t>
      </w:r>
      <w:r w:rsidR="00EF1551">
        <w:fldChar w:fldCharType="begin"/>
      </w:r>
      <w:r w:rsidR="00EF1551">
        <w:instrText xml:space="preserve"> REF _Ref134194718 \r \h </w:instrText>
      </w:r>
      <w:r w:rsidR="00EF1551">
        <w:fldChar w:fldCharType="separate"/>
      </w:r>
      <w:r w:rsidR="001A2885">
        <w:t>4.2</w:t>
      </w:r>
      <w:r w:rsidR="00EF1551">
        <w:fldChar w:fldCharType="end"/>
      </w:r>
      <w:r w:rsidR="00810671">
        <w:t xml:space="preserve"> set out </w:t>
      </w:r>
      <w:r w:rsidR="00B862A5">
        <w:t xml:space="preserve">how this </w:t>
      </w:r>
      <w:r w:rsidR="001D267C">
        <w:t>can be achieved</w:t>
      </w:r>
      <w:r w:rsidR="00B862A5">
        <w:t xml:space="preserve">. </w:t>
      </w:r>
    </w:p>
    <w:p w14:paraId="5C845D2C" w14:textId="1D33CEF2" w:rsidR="00C53F4A" w:rsidRDefault="00C53F4A" w:rsidP="00FB0D14">
      <w:pPr>
        <w:pStyle w:val="Heading2"/>
      </w:pPr>
      <w:bookmarkStart w:id="24" w:name="_Ref134194718"/>
      <w:bookmarkStart w:id="25" w:name="_Toc136540383"/>
      <w:r>
        <w:t>Proposed routes to competence</w:t>
      </w:r>
      <w:bookmarkEnd w:id="24"/>
      <w:bookmarkEnd w:id="25"/>
    </w:p>
    <w:p w14:paraId="72F8C1EA" w14:textId="33348471" w:rsidR="004D671C" w:rsidRDefault="003D6463" w:rsidP="009F3A81">
      <w:r>
        <w:t xml:space="preserve">The following are routes to competence for each occupation </w:t>
      </w:r>
      <w:r w:rsidR="00E12A25">
        <w:t xml:space="preserve">and entry </w:t>
      </w:r>
      <w:r w:rsidR="003A0269">
        <w:t>point</w:t>
      </w:r>
      <w:r w:rsidR="00E12A25">
        <w:t>.</w:t>
      </w:r>
      <w:r w:rsidR="002057C3">
        <w:t xml:space="preserve"> </w:t>
      </w:r>
      <w:r w:rsidR="004D671C">
        <w:t xml:space="preserve">It is expected that an employer will define the job role relevant to their scope of activities, </w:t>
      </w:r>
      <w:r w:rsidR="00EC63FB">
        <w:t xml:space="preserve">aligned to </w:t>
      </w:r>
      <w:r w:rsidR="00777674">
        <w:t>the relevant occupation</w:t>
      </w:r>
      <w:r w:rsidR="004D671C">
        <w:t xml:space="preserve">, and that employees will be developed to that level using the </w:t>
      </w:r>
      <w:r w:rsidR="002057C3">
        <w:t>appropriate</w:t>
      </w:r>
      <w:r w:rsidR="004D671C">
        <w:t xml:space="preserve"> route</w:t>
      </w:r>
      <w:r w:rsidR="002057C3">
        <w:t>.</w:t>
      </w:r>
    </w:p>
    <w:p w14:paraId="0EDB5459" w14:textId="3F5A1E25" w:rsidR="00E80280" w:rsidRDefault="00784B57" w:rsidP="009F3A81">
      <w:r>
        <w:t xml:space="preserve">As the type and scope of </w:t>
      </w:r>
      <w:r w:rsidR="00E80280">
        <w:t xml:space="preserve">an employer’s </w:t>
      </w:r>
      <w:r>
        <w:t xml:space="preserve">work </w:t>
      </w:r>
      <w:r w:rsidR="005E3B99">
        <w:t xml:space="preserve">changes it is possible that </w:t>
      </w:r>
      <w:r w:rsidR="00E80280">
        <w:t xml:space="preserve">employees will need to </w:t>
      </w:r>
      <w:r w:rsidR="0083196A">
        <w:t>extend</w:t>
      </w:r>
      <w:r w:rsidR="00716699">
        <w:t xml:space="preserve"> their job role scope </w:t>
      </w:r>
      <w:r w:rsidR="003B52F9">
        <w:t>to cover more firestopping types or methods</w:t>
      </w:r>
      <w:r w:rsidR="00716699">
        <w:t xml:space="preserve">. Each </w:t>
      </w:r>
      <w:r w:rsidR="0083196A">
        <w:t xml:space="preserve">route to competence incorporates a method for </w:t>
      </w:r>
      <w:r w:rsidR="00355A98">
        <w:t>introduc</w:t>
      </w:r>
      <w:r w:rsidR="00E5263F">
        <w:t>ing</w:t>
      </w:r>
      <w:r w:rsidR="005463D8">
        <w:t xml:space="preserve"> </w:t>
      </w:r>
      <w:r w:rsidR="005E7A3F">
        <w:t>additional activities</w:t>
      </w:r>
      <w:r w:rsidR="008D0181">
        <w:t xml:space="preserve"> which were not initially part of their job role, and </w:t>
      </w:r>
      <w:r w:rsidR="00AE74C6">
        <w:t xml:space="preserve">hence could not previously be assessed or qualified. </w:t>
      </w:r>
    </w:p>
    <w:p w14:paraId="1F5A24E5" w14:textId="30849A0A" w:rsidR="00100F34" w:rsidRDefault="00100F34" w:rsidP="00100F34">
      <w:pPr>
        <w:pStyle w:val="Heading3"/>
      </w:pPr>
      <w:r>
        <w:lastRenderedPageBreak/>
        <w:t>Firestopping Specialist Installer: new entrant – Apprentice</w:t>
      </w:r>
    </w:p>
    <w:p w14:paraId="33637539" w14:textId="603F82E2" w:rsidR="00100F34" w:rsidRDefault="006D5D19" w:rsidP="00E72431">
      <w:pPr>
        <w:jc w:val="center"/>
      </w:pPr>
      <w:r>
        <w:rPr>
          <w:noProof/>
        </w:rPr>
        <w:drawing>
          <wp:inline distT="0" distB="0" distL="0" distR="0" wp14:anchorId="36A04633" wp14:editId="5CE8FE26">
            <wp:extent cx="6120000" cy="7863106"/>
            <wp:effectExtent l="0" t="0" r="0" b="5080"/>
            <wp:docPr id="254609722" name="Picture 254609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000" cy="7863106"/>
                    </a:xfrm>
                    <a:prstGeom prst="rect">
                      <a:avLst/>
                    </a:prstGeom>
                    <a:noFill/>
                  </pic:spPr>
                </pic:pic>
              </a:graphicData>
            </a:graphic>
          </wp:inline>
        </w:drawing>
      </w:r>
    </w:p>
    <w:p w14:paraId="70A0C7B0" w14:textId="607D7942" w:rsidR="00E72431" w:rsidRDefault="00E72431" w:rsidP="00E72431">
      <w:pPr>
        <w:pStyle w:val="Heading3"/>
      </w:pPr>
      <w:r>
        <w:lastRenderedPageBreak/>
        <w:t>Firestopping Specialist Installer: new entrant – unskilled</w:t>
      </w:r>
    </w:p>
    <w:p w14:paraId="5DA479A2" w14:textId="1B070E22" w:rsidR="00E72431" w:rsidRDefault="00FB2AC8" w:rsidP="000A5620">
      <w:pPr>
        <w:jc w:val="center"/>
      </w:pPr>
      <w:r>
        <w:rPr>
          <w:noProof/>
        </w:rPr>
        <w:drawing>
          <wp:inline distT="0" distB="0" distL="0" distR="0" wp14:anchorId="00C36B63" wp14:editId="40573D2F">
            <wp:extent cx="6120000" cy="7863106"/>
            <wp:effectExtent l="0" t="0" r="0" b="5080"/>
            <wp:docPr id="2130803016" name="Picture 2130803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000" cy="7863106"/>
                    </a:xfrm>
                    <a:prstGeom prst="rect">
                      <a:avLst/>
                    </a:prstGeom>
                    <a:noFill/>
                  </pic:spPr>
                </pic:pic>
              </a:graphicData>
            </a:graphic>
          </wp:inline>
        </w:drawing>
      </w:r>
    </w:p>
    <w:p w14:paraId="219B4B56" w14:textId="25202071" w:rsidR="00A55CE4" w:rsidRDefault="00A55CE4" w:rsidP="00A55CE4">
      <w:pPr>
        <w:pStyle w:val="Heading3"/>
      </w:pPr>
      <w:r>
        <w:lastRenderedPageBreak/>
        <w:t>Firestopping Specialist Installer: new entrant – partially skilled</w:t>
      </w:r>
    </w:p>
    <w:p w14:paraId="3602ACE8" w14:textId="7C03F3BE" w:rsidR="00B33D93" w:rsidRPr="00B33D93" w:rsidRDefault="00F159AD" w:rsidP="00B33D93">
      <w:pPr>
        <w:jc w:val="center"/>
      </w:pPr>
      <w:r>
        <w:rPr>
          <w:noProof/>
        </w:rPr>
        <w:drawing>
          <wp:inline distT="0" distB="0" distL="0" distR="0" wp14:anchorId="5FAFC537" wp14:editId="34453081">
            <wp:extent cx="6120000" cy="7863106"/>
            <wp:effectExtent l="0" t="0" r="0" b="5080"/>
            <wp:docPr id="1385011359" name="Picture 138501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000" cy="7863106"/>
                    </a:xfrm>
                    <a:prstGeom prst="rect">
                      <a:avLst/>
                    </a:prstGeom>
                    <a:noFill/>
                  </pic:spPr>
                </pic:pic>
              </a:graphicData>
            </a:graphic>
          </wp:inline>
        </w:drawing>
      </w:r>
    </w:p>
    <w:p w14:paraId="60359D23" w14:textId="2DE6F424" w:rsidR="00B33D93" w:rsidRDefault="00B33D93" w:rsidP="00B33D93">
      <w:pPr>
        <w:pStyle w:val="Heading3"/>
      </w:pPr>
      <w:r>
        <w:lastRenderedPageBreak/>
        <w:t>Firestopping Specialist Installer: experienced worker</w:t>
      </w:r>
    </w:p>
    <w:p w14:paraId="1380B249" w14:textId="4CB378D6" w:rsidR="00E474CC" w:rsidRPr="00E474CC" w:rsidRDefault="00E474CC" w:rsidP="00E474CC">
      <w:r>
        <w:rPr>
          <w:noProof/>
        </w:rPr>
        <w:drawing>
          <wp:inline distT="0" distB="0" distL="0" distR="0" wp14:anchorId="513E8929" wp14:editId="7F71E59C">
            <wp:extent cx="6120000" cy="7558130"/>
            <wp:effectExtent l="0" t="0" r="0" b="5080"/>
            <wp:docPr id="642023356" name="Picture 642023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000" cy="7558130"/>
                    </a:xfrm>
                    <a:prstGeom prst="rect">
                      <a:avLst/>
                    </a:prstGeom>
                    <a:noFill/>
                  </pic:spPr>
                </pic:pic>
              </a:graphicData>
            </a:graphic>
          </wp:inline>
        </w:drawing>
      </w:r>
    </w:p>
    <w:p w14:paraId="06C352B6" w14:textId="387B723C" w:rsidR="00A55CE4" w:rsidRDefault="00C702BB" w:rsidP="00C702BB">
      <w:pPr>
        <w:pStyle w:val="Heading3"/>
      </w:pPr>
      <w:r>
        <w:lastRenderedPageBreak/>
        <w:t xml:space="preserve">Specialist Firestopping Team Leader – </w:t>
      </w:r>
      <w:proofErr w:type="spellStart"/>
      <w:r>
        <w:t>upskiller</w:t>
      </w:r>
      <w:proofErr w:type="spellEnd"/>
      <w:r w:rsidR="00304B81">
        <w:t xml:space="preserve"> or experienced worker</w:t>
      </w:r>
    </w:p>
    <w:p w14:paraId="12B56E95" w14:textId="3FE1FFDC" w:rsidR="00304B81" w:rsidRPr="00304B81" w:rsidRDefault="00304B81" w:rsidP="00304B81">
      <w:pPr>
        <w:jc w:val="center"/>
      </w:pPr>
      <w:r>
        <w:rPr>
          <w:noProof/>
        </w:rPr>
        <w:drawing>
          <wp:inline distT="0" distB="0" distL="0" distR="0" wp14:anchorId="10A92ECD" wp14:editId="5999ED33">
            <wp:extent cx="6120000" cy="6130238"/>
            <wp:effectExtent l="0" t="0" r="0" b="4445"/>
            <wp:docPr id="273034369" name="Picture 27303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6130238"/>
                    </a:xfrm>
                    <a:prstGeom prst="rect">
                      <a:avLst/>
                    </a:prstGeom>
                    <a:noFill/>
                  </pic:spPr>
                </pic:pic>
              </a:graphicData>
            </a:graphic>
          </wp:inline>
        </w:drawing>
      </w:r>
    </w:p>
    <w:p w14:paraId="1C654BAA" w14:textId="0AC2D84C" w:rsidR="00C702BB" w:rsidRDefault="00C702BB" w:rsidP="00C702BB">
      <w:pPr>
        <w:pStyle w:val="Heading3"/>
      </w:pPr>
      <w:r>
        <w:lastRenderedPageBreak/>
        <w:t xml:space="preserve">Specialist Firestopping Supervisor – </w:t>
      </w:r>
      <w:proofErr w:type="spellStart"/>
      <w:r>
        <w:t>upskiller</w:t>
      </w:r>
      <w:proofErr w:type="spellEnd"/>
      <w:r w:rsidR="0077525F">
        <w:t xml:space="preserve"> or experienced worker</w:t>
      </w:r>
    </w:p>
    <w:p w14:paraId="3166C5C9" w14:textId="3FE08DC4" w:rsidR="00C702BB" w:rsidRPr="00C702BB" w:rsidRDefault="00FD3151" w:rsidP="00FD3151">
      <w:pPr>
        <w:jc w:val="center"/>
      </w:pPr>
      <w:r>
        <w:rPr>
          <w:noProof/>
        </w:rPr>
        <w:drawing>
          <wp:inline distT="0" distB="0" distL="0" distR="0" wp14:anchorId="5EB90700" wp14:editId="0B836228">
            <wp:extent cx="6120000" cy="6130238"/>
            <wp:effectExtent l="0" t="0" r="0" b="4445"/>
            <wp:docPr id="438088373" name="Picture 438088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000" cy="6130238"/>
                    </a:xfrm>
                    <a:prstGeom prst="rect">
                      <a:avLst/>
                    </a:prstGeom>
                    <a:noFill/>
                  </pic:spPr>
                </pic:pic>
              </a:graphicData>
            </a:graphic>
          </wp:inline>
        </w:drawing>
      </w:r>
    </w:p>
    <w:p w14:paraId="36DE0048" w14:textId="2EA4F5D2" w:rsidR="00D323D9" w:rsidRPr="006A72D1" w:rsidRDefault="009D63C2" w:rsidP="00180B76">
      <w:pPr>
        <w:pStyle w:val="Heading2"/>
      </w:pPr>
      <w:bookmarkStart w:id="26" w:name="_Toc136540384"/>
      <w:r>
        <w:t>Relationship to organisational capability</w:t>
      </w:r>
      <w:bookmarkEnd w:id="26"/>
    </w:p>
    <w:p w14:paraId="59186BB1" w14:textId="1A8E1B5B" w:rsidR="003B1EA7" w:rsidRDefault="003B1EA7" w:rsidP="001F6770">
      <w:pPr>
        <w:jc w:val="both"/>
        <w:rPr>
          <w:rFonts w:cstheme="minorHAnsi"/>
        </w:rPr>
      </w:pPr>
      <w:r>
        <w:rPr>
          <w:rFonts w:cstheme="minorHAnsi"/>
        </w:rPr>
        <w:t xml:space="preserve">Alongside demonstrating the capability of individuals within their workforce, companies </w:t>
      </w:r>
      <w:r w:rsidR="00FD1093">
        <w:rPr>
          <w:rFonts w:cstheme="minorHAnsi"/>
        </w:rPr>
        <w:t xml:space="preserve">also </w:t>
      </w:r>
      <w:r>
        <w:rPr>
          <w:rFonts w:cstheme="minorHAnsi"/>
        </w:rPr>
        <w:t xml:space="preserve">need to demonstrate organisational capability. </w:t>
      </w:r>
      <w:r w:rsidR="00D80C3B">
        <w:rPr>
          <w:rFonts w:cstheme="minorHAnsi"/>
        </w:rPr>
        <w:t xml:space="preserve">This can be evidenced through being part of a certification scheme that embeds </w:t>
      </w:r>
      <w:r w:rsidR="00E24F6D">
        <w:rPr>
          <w:rFonts w:cstheme="minorHAnsi"/>
        </w:rPr>
        <w:t>these requirements for</w:t>
      </w:r>
      <w:r w:rsidR="00D80C3B">
        <w:rPr>
          <w:rFonts w:cstheme="minorHAnsi"/>
        </w:rPr>
        <w:t xml:space="preserve"> competence within it.</w:t>
      </w:r>
      <w:r w:rsidR="009D63C2">
        <w:rPr>
          <w:rFonts w:cstheme="minorHAnsi"/>
        </w:rPr>
        <w:t xml:space="preserve"> </w:t>
      </w:r>
    </w:p>
    <w:p w14:paraId="0AFA49AA" w14:textId="11670B54" w:rsidR="00B4106E" w:rsidRPr="00B4106E" w:rsidRDefault="006D6B14" w:rsidP="00180B76">
      <w:pPr>
        <w:pStyle w:val="Heading2"/>
      </w:pPr>
      <w:bookmarkStart w:id="27" w:name="_Toc136540385"/>
      <w:r>
        <w:t>Ongoing monitoring and maintenance</w:t>
      </w:r>
      <w:bookmarkEnd w:id="27"/>
    </w:p>
    <w:p w14:paraId="1D76E82D" w14:textId="401174A0" w:rsidR="006D6B14" w:rsidRPr="006D6B14" w:rsidRDefault="00995610" w:rsidP="00D80C3B">
      <w:pPr>
        <w:pStyle w:val="BodyText1"/>
      </w:pPr>
      <w:r>
        <w:t xml:space="preserve">This standard will be managed and maintained by the FSSG, with practical support </w:t>
      </w:r>
      <w:r w:rsidR="00C810DC">
        <w:t xml:space="preserve">to and leadership of that group </w:t>
      </w:r>
      <w:r>
        <w:t xml:space="preserve">provided by </w:t>
      </w:r>
      <w:proofErr w:type="spellStart"/>
      <w:r>
        <w:t>ASFP</w:t>
      </w:r>
      <w:proofErr w:type="spellEnd"/>
      <w:r w:rsidR="00C810DC">
        <w:t>.</w:t>
      </w:r>
      <w:r w:rsidR="00A2117C">
        <w:t xml:space="preserve"> </w:t>
      </w:r>
      <w:r w:rsidR="000D774E">
        <w:t>This includes all amendments or updates to the functional map and framework of competencie</w:t>
      </w:r>
      <w:r w:rsidR="008845ED">
        <w:t>s.</w:t>
      </w:r>
    </w:p>
    <w:p w14:paraId="0881029D" w14:textId="5DC091B5" w:rsidR="00F65AC4" w:rsidRDefault="002551CD" w:rsidP="00180B76">
      <w:pPr>
        <w:pStyle w:val="Heading1"/>
      </w:pPr>
      <w:bookmarkStart w:id="28" w:name="_Toc136540386"/>
      <w:r>
        <w:lastRenderedPageBreak/>
        <w:t>Implementing</w:t>
      </w:r>
      <w:r w:rsidR="00BE0079">
        <w:t xml:space="preserve"> the standard</w:t>
      </w:r>
      <w:bookmarkEnd w:id="28"/>
    </w:p>
    <w:p w14:paraId="55C415C7" w14:textId="76ADCBE0" w:rsidR="00EE615C" w:rsidRDefault="00BB0944" w:rsidP="00BB0944">
      <w:pPr>
        <w:pStyle w:val="BodyText1"/>
      </w:pPr>
      <w:r>
        <w:t xml:space="preserve">It has been acknowledged that </w:t>
      </w:r>
      <w:r w:rsidR="000A53CF">
        <w:t xml:space="preserve">further development work will be required to put in place </w:t>
      </w:r>
      <w:r>
        <w:t xml:space="preserve">the proposed routes to competence </w:t>
      </w:r>
      <w:r w:rsidR="007D4971">
        <w:t>for</w:t>
      </w:r>
      <w:r>
        <w:t xml:space="preserve"> the sector. The following table sets out the </w:t>
      </w:r>
      <w:r w:rsidR="0034659B">
        <w:t xml:space="preserve">next steps required to fully </w:t>
      </w:r>
      <w:r w:rsidR="00C90A04">
        <w:t>implement</w:t>
      </w:r>
      <w:r w:rsidR="0034659B">
        <w:t xml:space="preserve"> this competence standard.</w:t>
      </w:r>
      <w:r w:rsidR="00EE615C">
        <w:t xml:space="preserve"> </w:t>
      </w:r>
    </w:p>
    <w:p w14:paraId="5DC6EAA8" w14:textId="0473535B" w:rsidR="00BE0079" w:rsidRDefault="00EE615C" w:rsidP="00BB0944">
      <w:pPr>
        <w:pStyle w:val="BodyText1"/>
      </w:pPr>
      <w:r>
        <w:t>It should be noted that this is list is not necessarily exhaustive, and further actions might be identified as work progresses.</w:t>
      </w:r>
      <w:r w:rsidR="000638E6">
        <w:t xml:space="preserve"> This is particularly true where </w:t>
      </w:r>
      <w:r w:rsidR="007D4971">
        <w:t xml:space="preserve">the need </w:t>
      </w:r>
      <w:r w:rsidR="000638E6">
        <w:t xml:space="preserve">feasibility studies </w:t>
      </w:r>
      <w:r w:rsidR="007D4971">
        <w:t>have been identified</w:t>
      </w:r>
      <w:r w:rsidR="000638E6">
        <w:t xml:space="preserve"> in order to enable further action.</w:t>
      </w:r>
    </w:p>
    <w:p w14:paraId="454308F3" w14:textId="279192C0" w:rsidR="00640623" w:rsidRDefault="00640623" w:rsidP="00BB0944">
      <w:pPr>
        <w:pStyle w:val="BodyText1"/>
      </w:pPr>
      <w:r>
        <w:t xml:space="preserve">Where specific product development is required, </w:t>
      </w:r>
      <w:r w:rsidR="00EE2EC2">
        <w:t>estimated</w:t>
      </w:r>
      <w:r>
        <w:t xml:space="preserve"> </w:t>
      </w:r>
      <w:r w:rsidR="00E80F54">
        <w:t xml:space="preserve">time required for that development to take place has been factored into the </w:t>
      </w:r>
      <w:r w:rsidR="003D587F">
        <w:t>timescale outlined.</w:t>
      </w:r>
    </w:p>
    <w:tbl>
      <w:tblPr>
        <w:tblStyle w:val="TableGrid"/>
        <w:tblW w:w="9067" w:type="dxa"/>
        <w:tblLook w:val="04A0" w:firstRow="1" w:lastRow="0" w:firstColumn="1" w:lastColumn="0" w:noHBand="0" w:noVBand="1"/>
      </w:tblPr>
      <w:tblGrid>
        <w:gridCol w:w="3061"/>
        <w:gridCol w:w="3057"/>
        <w:gridCol w:w="1543"/>
        <w:gridCol w:w="1406"/>
      </w:tblGrid>
      <w:tr w:rsidR="0034659B" w:rsidRPr="0034659B" w14:paraId="21FC575D" w14:textId="77777777" w:rsidTr="000818CA">
        <w:tc>
          <w:tcPr>
            <w:tcW w:w="3061" w:type="dxa"/>
            <w:shd w:val="clear" w:color="auto" w:fill="D9D9D9" w:themeFill="background1" w:themeFillShade="D9"/>
            <w:vAlign w:val="center"/>
          </w:tcPr>
          <w:p w14:paraId="696B04C8" w14:textId="6E361012" w:rsidR="0034659B" w:rsidRPr="0034659B" w:rsidRDefault="0034659B" w:rsidP="000818CA">
            <w:pPr>
              <w:pStyle w:val="BodyText1"/>
              <w:jc w:val="center"/>
              <w:rPr>
                <w:b/>
                <w:bCs/>
              </w:rPr>
            </w:pPr>
            <w:bookmarkStart w:id="29" w:name="_Hlk136540463"/>
            <w:r w:rsidRPr="0034659B">
              <w:rPr>
                <w:b/>
                <w:bCs/>
              </w:rPr>
              <w:t>Activity required</w:t>
            </w:r>
          </w:p>
        </w:tc>
        <w:tc>
          <w:tcPr>
            <w:tcW w:w="3057" w:type="dxa"/>
            <w:shd w:val="clear" w:color="auto" w:fill="D9D9D9" w:themeFill="background1" w:themeFillShade="D9"/>
            <w:vAlign w:val="center"/>
          </w:tcPr>
          <w:p w14:paraId="49A35388" w14:textId="1D417998" w:rsidR="0034659B" w:rsidRPr="0034659B" w:rsidRDefault="0034659B" w:rsidP="000818CA">
            <w:pPr>
              <w:pStyle w:val="BodyText1"/>
              <w:jc w:val="center"/>
              <w:rPr>
                <w:b/>
                <w:bCs/>
              </w:rPr>
            </w:pPr>
            <w:r w:rsidRPr="0034659B">
              <w:rPr>
                <w:b/>
                <w:bCs/>
              </w:rPr>
              <w:t>Purpose</w:t>
            </w:r>
          </w:p>
        </w:tc>
        <w:tc>
          <w:tcPr>
            <w:tcW w:w="1543" w:type="dxa"/>
            <w:shd w:val="clear" w:color="auto" w:fill="D9D9D9" w:themeFill="background1" w:themeFillShade="D9"/>
            <w:vAlign w:val="center"/>
          </w:tcPr>
          <w:p w14:paraId="19C8714F" w14:textId="6E88A01F" w:rsidR="0034659B" w:rsidRPr="0034659B" w:rsidRDefault="0034659B" w:rsidP="000818CA">
            <w:pPr>
              <w:pStyle w:val="BodyText1"/>
              <w:jc w:val="center"/>
              <w:rPr>
                <w:b/>
                <w:bCs/>
              </w:rPr>
            </w:pPr>
            <w:r w:rsidRPr="0034659B">
              <w:rPr>
                <w:b/>
                <w:bCs/>
              </w:rPr>
              <w:t>Owner</w:t>
            </w:r>
          </w:p>
        </w:tc>
        <w:tc>
          <w:tcPr>
            <w:tcW w:w="1406" w:type="dxa"/>
            <w:shd w:val="clear" w:color="auto" w:fill="D9D9D9" w:themeFill="background1" w:themeFillShade="D9"/>
            <w:vAlign w:val="center"/>
          </w:tcPr>
          <w:p w14:paraId="39AFA291" w14:textId="1FCC3434" w:rsidR="0034659B" w:rsidRPr="0034659B" w:rsidRDefault="000818CA" w:rsidP="000818CA">
            <w:pPr>
              <w:pStyle w:val="BodyText1"/>
              <w:jc w:val="center"/>
              <w:rPr>
                <w:b/>
                <w:bCs/>
              </w:rPr>
            </w:pPr>
            <w:r>
              <w:rPr>
                <w:b/>
                <w:bCs/>
              </w:rPr>
              <w:t>Target completion timescale</w:t>
            </w:r>
          </w:p>
        </w:tc>
      </w:tr>
      <w:bookmarkEnd w:id="29"/>
      <w:tr w:rsidR="00C63CAF" w14:paraId="73D20E79" w14:textId="77777777" w:rsidTr="00EE2EC2">
        <w:trPr>
          <w:trHeight w:val="1954"/>
        </w:trPr>
        <w:tc>
          <w:tcPr>
            <w:tcW w:w="3061" w:type="dxa"/>
            <w:vAlign w:val="center"/>
          </w:tcPr>
          <w:p w14:paraId="0C0AAE8A" w14:textId="6844146F" w:rsidR="00C63CAF" w:rsidRDefault="00C63CAF">
            <w:pPr>
              <w:pStyle w:val="BodyText1"/>
              <w:jc w:val="left"/>
            </w:pPr>
            <w:r>
              <w:t>Carry out a feasibility study for development of a Specialist Applied Skills Programme (SAP)</w:t>
            </w:r>
            <w:r w:rsidR="00EE2EC2">
              <w:t>, including consideration of capacity and capability for delivery</w:t>
            </w:r>
          </w:p>
        </w:tc>
        <w:tc>
          <w:tcPr>
            <w:tcW w:w="3057" w:type="dxa"/>
            <w:vAlign w:val="center"/>
          </w:tcPr>
          <w:p w14:paraId="10D6AE17" w14:textId="77777777" w:rsidR="00C63CAF" w:rsidRDefault="00C63CAF">
            <w:pPr>
              <w:pStyle w:val="BodyText1"/>
              <w:jc w:val="left"/>
            </w:pPr>
            <w:r>
              <w:t xml:space="preserve">To determine the implications of </w:t>
            </w:r>
            <w:proofErr w:type="gramStart"/>
            <w:r>
              <w:t>a</w:t>
            </w:r>
            <w:proofErr w:type="gramEnd"/>
            <w:r>
              <w:t xml:space="preserve"> SAP for individuals and their employers, and gauge whether this route is appropriate</w:t>
            </w:r>
          </w:p>
        </w:tc>
        <w:tc>
          <w:tcPr>
            <w:tcW w:w="1543" w:type="dxa"/>
            <w:vAlign w:val="center"/>
          </w:tcPr>
          <w:p w14:paraId="16E1668C" w14:textId="13642F67" w:rsidR="00C63CAF" w:rsidRDefault="00C63CAF">
            <w:pPr>
              <w:pStyle w:val="BodyText1"/>
              <w:jc w:val="left"/>
            </w:pPr>
            <w:proofErr w:type="spellStart"/>
            <w:r>
              <w:t>CITB</w:t>
            </w:r>
            <w:proofErr w:type="spellEnd"/>
            <w:r>
              <w:t>/</w:t>
            </w:r>
            <w:r w:rsidR="00D921A4">
              <w:t>FSSG</w:t>
            </w:r>
          </w:p>
        </w:tc>
        <w:tc>
          <w:tcPr>
            <w:tcW w:w="1406" w:type="dxa"/>
            <w:vAlign w:val="center"/>
          </w:tcPr>
          <w:p w14:paraId="6027D98E" w14:textId="77777777" w:rsidR="00C63CAF" w:rsidRDefault="00C63CAF">
            <w:pPr>
              <w:pStyle w:val="BodyText1"/>
              <w:jc w:val="left"/>
            </w:pPr>
            <w:r>
              <w:t>Autumn 2023</w:t>
            </w:r>
          </w:p>
        </w:tc>
      </w:tr>
      <w:tr w:rsidR="00C63CAF" w14:paraId="3E515929" w14:textId="77777777" w:rsidTr="00EE2EC2">
        <w:trPr>
          <w:trHeight w:val="2266"/>
        </w:trPr>
        <w:tc>
          <w:tcPr>
            <w:tcW w:w="3061" w:type="dxa"/>
            <w:vAlign w:val="center"/>
          </w:tcPr>
          <w:p w14:paraId="5C823BC1" w14:textId="61DB7437" w:rsidR="00C63CAF" w:rsidRDefault="00C63CAF">
            <w:pPr>
              <w:pStyle w:val="BodyText1"/>
              <w:jc w:val="left"/>
            </w:pPr>
            <w:r>
              <w:t>Carry out a feasibility study for development of an apprenticeship for the Firestopping Specialist Installer role</w:t>
            </w:r>
            <w:r w:rsidR="00EE2EC2">
              <w:t>, including consideration of capacity and capability for delivery</w:t>
            </w:r>
          </w:p>
        </w:tc>
        <w:tc>
          <w:tcPr>
            <w:tcW w:w="3057" w:type="dxa"/>
            <w:vAlign w:val="center"/>
          </w:tcPr>
          <w:p w14:paraId="0B3B4870" w14:textId="77777777" w:rsidR="00C63CAF" w:rsidRPr="000638E6" w:rsidRDefault="00C63CAF">
            <w:pPr>
              <w:pStyle w:val="BodyText1"/>
              <w:jc w:val="left"/>
            </w:pPr>
            <w:r>
              <w:t>To determine whether the minimum requirements for an apprenticeship could be met and gain support for apprenticeship development</w:t>
            </w:r>
          </w:p>
        </w:tc>
        <w:tc>
          <w:tcPr>
            <w:tcW w:w="1543" w:type="dxa"/>
            <w:vAlign w:val="center"/>
          </w:tcPr>
          <w:p w14:paraId="7C56A4AF" w14:textId="19B62140" w:rsidR="00C63CAF" w:rsidRDefault="00A9342F">
            <w:pPr>
              <w:pStyle w:val="BodyText1"/>
              <w:jc w:val="left"/>
            </w:pPr>
            <w:r>
              <w:t>TBC</w:t>
            </w:r>
          </w:p>
        </w:tc>
        <w:tc>
          <w:tcPr>
            <w:tcW w:w="1406" w:type="dxa"/>
            <w:vAlign w:val="center"/>
          </w:tcPr>
          <w:p w14:paraId="22F8D007" w14:textId="77777777" w:rsidR="00C63CAF" w:rsidRDefault="00C63CAF">
            <w:pPr>
              <w:pStyle w:val="BodyText1"/>
              <w:jc w:val="left"/>
            </w:pPr>
            <w:r>
              <w:t>Winter 2023</w:t>
            </w:r>
          </w:p>
        </w:tc>
      </w:tr>
      <w:tr w:rsidR="00C63CAF" w14:paraId="6E889837" w14:textId="77777777" w:rsidTr="004F1045">
        <w:trPr>
          <w:trHeight w:val="2527"/>
        </w:trPr>
        <w:tc>
          <w:tcPr>
            <w:tcW w:w="3061" w:type="dxa"/>
            <w:vAlign w:val="center"/>
          </w:tcPr>
          <w:p w14:paraId="51D651B6" w14:textId="77777777" w:rsidR="00C63CAF" w:rsidRDefault="00C63CAF">
            <w:pPr>
              <w:pStyle w:val="BodyText1"/>
              <w:jc w:val="left"/>
            </w:pPr>
            <w:r>
              <w:t>Determine requirements and plan for development and implementation of an industry specific register for competence in passive fire protection</w:t>
            </w:r>
          </w:p>
        </w:tc>
        <w:tc>
          <w:tcPr>
            <w:tcW w:w="3057" w:type="dxa"/>
            <w:vAlign w:val="center"/>
          </w:tcPr>
          <w:p w14:paraId="26098876" w14:textId="578F5374" w:rsidR="00C63CAF" w:rsidRDefault="00C63CAF">
            <w:pPr>
              <w:pStyle w:val="BodyText1"/>
              <w:jc w:val="left"/>
            </w:pPr>
            <w:r>
              <w:t xml:space="preserve">To determine mechanisms to record and validate competence of individuals in relation to the competence framework, including recording evidence of </w:t>
            </w:r>
            <w:proofErr w:type="spellStart"/>
            <w:r>
              <w:t>SKEB</w:t>
            </w:r>
            <w:proofErr w:type="spellEnd"/>
            <w:r w:rsidR="00D54864">
              <w:t xml:space="preserve"> and transitional arrangements </w:t>
            </w:r>
            <w:r w:rsidR="004F1045">
              <w:t>whilst qualifications emerge</w:t>
            </w:r>
          </w:p>
        </w:tc>
        <w:tc>
          <w:tcPr>
            <w:tcW w:w="1543" w:type="dxa"/>
            <w:vAlign w:val="center"/>
          </w:tcPr>
          <w:p w14:paraId="56C4EC6F" w14:textId="77777777" w:rsidR="00C63CAF" w:rsidRDefault="00C63CAF">
            <w:pPr>
              <w:pStyle w:val="BodyText1"/>
              <w:jc w:val="left"/>
            </w:pPr>
            <w:r>
              <w:t>FSSG</w:t>
            </w:r>
          </w:p>
        </w:tc>
        <w:tc>
          <w:tcPr>
            <w:tcW w:w="1406" w:type="dxa"/>
            <w:vAlign w:val="center"/>
          </w:tcPr>
          <w:p w14:paraId="5BAF48CC" w14:textId="77777777" w:rsidR="00C63CAF" w:rsidRDefault="00C63CAF">
            <w:pPr>
              <w:pStyle w:val="BodyText1"/>
              <w:jc w:val="left"/>
            </w:pPr>
            <w:r>
              <w:t>Winter 2023</w:t>
            </w:r>
          </w:p>
        </w:tc>
      </w:tr>
      <w:tr w:rsidR="0034659B" w14:paraId="7380731E" w14:textId="77777777" w:rsidTr="00C63CAF">
        <w:trPr>
          <w:trHeight w:val="1125"/>
        </w:trPr>
        <w:tc>
          <w:tcPr>
            <w:tcW w:w="3061" w:type="dxa"/>
            <w:vAlign w:val="center"/>
          </w:tcPr>
          <w:p w14:paraId="68B05796" w14:textId="59025310" w:rsidR="0034659B" w:rsidRDefault="00EE615C" w:rsidP="0034659B">
            <w:pPr>
              <w:pStyle w:val="BodyText1"/>
              <w:jc w:val="left"/>
            </w:pPr>
            <w:r>
              <w:t>Review and update of National Occupational Standards (NOS) for firestopping</w:t>
            </w:r>
          </w:p>
        </w:tc>
        <w:tc>
          <w:tcPr>
            <w:tcW w:w="3057" w:type="dxa"/>
            <w:vAlign w:val="center"/>
          </w:tcPr>
          <w:p w14:paraId="501CF64D" w14:textId="1A276A88" w:rsidR="0034659B" w:rsidRDefault="00F57DCC" w:rsidP="0034659B">
            <w:pPr>
              <w:pStyle w:val="BodyText1"/>
              <w:jc w:val="left"/>
            </w:pPr>
            <w:r w:rsidRPr="00F57DCC">
              <w:t>To align the NOS with revised activities and competence statements produced by FSSG</w:t>
            </w:r>
          </w:p>
        </w:tc>
        <w:tc>
          <w:tcPr>
            <w:tcW w:w="1543" w:type="dxa"/>
            <w:vAlign w:val="center"/>
          </w:tcPr>
          <w:p w14:paraId="0221B587" w14:textId="57D2BC4B" w:rsidR="0034659B" w:rsidRDefault="000638E6" w:rsidP="0034659B">
            <w:pPr>
              <w:pStyle w:val="BodyText1"/>
              <w:jc w:val="left"/>
            </w:pPr>
            <w:proofErr w:type="spellStart"/>
            <w:r>
              <w:t>CITB</w:t>
            </w:r>
            <w:proofErr w:type="spellEnd"/>
          </w:p>
        </w:tc>
        <w:tc>
          <w:tcPr>
            <w:tcW w:w="1406" w:type="dxa"/>
            <w:vAlign w:val="center"/>
          </w:tcPr>
          <w:p w14:paraId="623DAF71" w14:textId="5F57BB9C" w:rsidR="0034659B" w:rsidRDefault="00DB50DD" w:rsidP="0034659B">
            <w:pPr>
              <w:pStyle w:val="BodyText1"/>
              <w:jc w:val="left"/>
            </w:pPr>
            <w:r>
              <w:t>Summer 2024</w:t>
            </w:r>
          </w:p>
        </w:tc>
      </w:tr>
      <w:tr w:rsidR="0034659B" w14:paraId="09A81291" w14:textId="77777777" w:rsidTr="00C63CAF">
        <w:trPr>
          <w:trHeight w:val="2133"/>
        </w:trPr>
        <w:tc>
          <w:tcPr>
            <w:tcW w:w="3061" w:type="dxa"/>
            <w:vAlign w:val="center"/>
          </w:tcPr>
          <w:p w14:paraId="21CD3A6A" w14:textId="6514EEDD" w:rsidR="0034659B" w:rsidRDefault="00C36360" w:rsidP="0034659B">
            <w:pPr>
              <w:pStyle w:val="BodyText1"/>
              <w:jc w:val="left"/>
            </w:pPr>
            <w:r>
              <w:lastRenderedPageBreak/>
              <w:t>Review and update structure for level 2 qualification in passive fire protection / create new qualification structure specific to firestopping (including consultation with relevant awarding bodies)</w:t>
            </w:r>
          </w:p>
        </w:tc>
        <w:tc>
          <w:tcPr>
            <w:tcW w:w="3057" w:type="dxa"/>
            <w:vAlign w:val="center"/>
          </w:tcPr>
          <w:p w14:paraId="5946B95E" w14:textId="7585F692" w:rsidR="0034659B" w:rsidRDefault="00D758B1" w:rsidP="0034659B">
            <w:pPr>
              <w:pStyle w:val="BodyText1"/>
              <w:jc w:val="left"/>
            </w:pPr>
            <w:r>
              <w:t>To guide Awarding Bodies in developing appropriate qualifications against the new standard set</w:t>
            </w:r>
          </w:p>
        </w:tc>
        <w:tc>
          <w:tcPr>
            <w:tcW w:w="1543" w:type="dxa"/>
            <w:vAlign w:val="center"/>
          </w:tcPr>
          <w:p w14:paraId="09422238" w14:textId="04596F60" w:rsidR="0034659B" w:rsidRDefault="000638E6" w:rsidP="0034659B">
            <w:pPr>
              <w:pStyle w:val="BodyText1"/>
              <w:jc w:val="left"/>
            </w:pPr>
            <w:proofErr w:type="spellStart"/>
            <w:r>
              <w:t>CITB</w:t>
            </w:r>
            <w:proofErr w:type="spellEnd"/>
          </w:p>
        </w:tc>
        <w:tc>
          <w:tcPr>
            <w:tcW w:w="1406" w:type="dxa"/>
            <w:vAlign w:val="center"/>
          </w:tcPr>
          <w:p w14:paraId="4927745E" w14:textId="1AE682FF" w:rsidR="0034659B" w:rsidRDefault="00F77800" w:rsidP="0034659B">
            <w:pPr>
              <w:pStyle w:val="BodyText1"/>
              <w:jc w:val="left"/>
            </w:pPr>
            <w:r>
              <w:t>Summer 202</w:t>
            </w:r>
            <w:r w:rsidR="002C617F">
              <w:t>4</w:t>
            </w:r>
          </w:p>
        </w:tc>
      </w:tr>
      <w:tr w:rsidR="004B0DB1" w14:paraId="7238BB46" w14:textId="77777777" w:rsidTr="00C63CAF">
        <w:trPr>
          <w:trHeight w:val="1684"/>
        </w:trPr>
        <w:tc>
          <w:tcPr>
            <w:tcW w:w="3061" w:type="dxa"/>
            <w:vAlign w:val="center"/>
          </w:tcPr>
          <w:p w14:paraId="31BC5D4D" w14:textId="77777777" w:rsidR="004B0DB1" w:rsidRDefault="004B0DB1">
            <w:pPr>
              <w:pStyle w:val="BodyText1"/>
              <w:jc w:val="left"/>
            </w:pPr>
            <w:r>
              <w:t>Determine requirements for unit-based awards or approved training in firestopping activities in addition to the defined qualification pathways</w:t>
            </w:r>
          </w:p>
        </w:tc>
        <w:tc>
          <w:tcPr>
            <w:tcW w:w="3057" w:type="dxa"/>
            <w:vAlign w:val="center"/>
          </w:tcPr>
          <w:p w14:paraId="22543295" w14:textId="77777777" w:rsidR="004B0DB1" w:rsidRPr="000638E6" w:rsidRDefault="004B0DB1">
            <w:pPr>
              <w:pStyle w:val="BodyText1"/>
              <w:jc w:val="left"/>
            </w:pPr>
            <w:r>
              <w:t>To provide a route to prove competence in additional activities over and above those in the initial qualifications undertaken</w:t>
            </w:r>
          </w:p>
        </w:tc>
        <w:tc>
          <w:tcPr>
            <w:tcW w:w="1543" w:type="dxa"/>
            <w:vAlign w:val="center"/>
          </w:tcPr>
          <w:p w14:paraId="13254F48" w14:textId="77777777" w:rsidR="004B0DB1" w:rsidRDefault="004B0DB1">
            <w:pPr>
              <w:pStyle w:val="BodyText1"/>
              <w:jc w:val="left"/>
            </w:pPr>
            <w:proofErr w:type="spellStart"/>
            <w:r>
              <w:t>CITB</w:t>
            </w:r>
            <w:proofErr w:type="spellEnd"/>
            <w:r>
              <w:t xml:space="preserve"> / FSSG</w:t>
            </w:r>
          </w:p>
        </w:tc>
        <w:tc>
          <w:tcPr>
            <w:tcW w:w="1406" w:type="dxa"/>
            <w:vAlign w:val="center"/>
          </w:tcPr>
          <w:p w14:paraId="195F25C5" w14:textId="77777777" w:rsidR="004B0DB1" w:rsidRDefault="004B0DB1">
            <w:pPr>
              <w:pStyle w:val="BodyText1"/>
              <w:jc w:val="left"/>
            </w:pPr>
            <w:r>
              <w:t>Summer 2024</w:t>
            </w:r>
          </w:p>
        </w:tc>
      </w:tr>
      <w:tr w:rsidR="00D758B1" w14:paraId="27B91DDE" w14:textId="77777777" w:rsidTr="00706848">
        <w:trPr>
          <w:trHeight w:val="2393"/>
        </w:trPr>
        <w:tc>
          <w:tcPr>
            <w:tcW w:w="3061" w:type="dxa"/>
            <w:vAlign w:val="center"/>
          </w:tcPr>
          <w:p w14:paraId="1CAE58E0" w14:textId="370C60C0" w:rsidR="00D758B1" w:rsidRDefault="00D758B1">
            <w:pPr>
              <w:pStyle w:val="BodyText1"/>
              <w:jc w:val="left"/>
            </w:pPr>
            <w:r>
              <w:t>Review and update requirements for on-site assessment for achievement of vocational qualifications</w:t>
            </w:r>
            <w:r w:rsidR="00C91D6D">
              <w:t xml:space="preserve"> (for experienced worker route)</w:t>
            </w:r>
          </w:p>
        </w:tc>
        <w:tc>
          <w:tcPr>
            <w:tcW w:w="3057" w:type="dxa"/>
            <w:vAlign w:val="center"/>
          </w:tcPr>
          <w:p w14:paraId="679437AE" w14:textId="77777777" w:rsidR="00D758B1" w:rsidRPr="000638E6" w:rsidRDefault="00D758B1" w:rsidP="00706848">
            <w:pPr>
              <w:pStyle w:val="BodyText1"/>
              <w:jc w:val="center"/>
            </w:pPr>
            <w:r>
              <w:t>To ensure that on site assessment reflects the requirements of the framework of competencies and competence standard, and includes fit-for-purpose measures of occupational competence for assessors</w:t>
            </w:r>
          </w:p>
        </w:tc>
        <w:tc>
          <w:tcPr>
            <w:tcW w:w="1543" w:type="dxa"/>
            <w:vAlign w:val="center"/>
          </w:tcPr>
          <w:p w14:paraId="3C28F1CB" w14:textId="77777777" w:rsidR="00D758B1" w:rsidRDefault="00D758B1">
            <w:pPr>
              <w:pStyle w:val="BodyText1"/>
              <w:jc w:val="left"/>
            </w:pPr>
            <w:proofErr w:type="spellStart"/>
            <w:r>
              <w:t>CITB</w:t>
            </w:r>
            <w:proofErr w:type="spellEnd"/>
          </w:p>
        </w:tc>
        <w:tc>
          <w:tcPr>
            <w:tcW w:w="1406" w:type="dxa"/>
            <w:vAlign w:val="center"/>
          </w:tcPr>
          <w:p w14:paraId="09D0BB96" w14:textId="77777777" w:rsidR="00D758B1" w:rsidRDefault="00D758B1">
            <w:pPr>
              <w:pStyle w:val="BodyText1"/>
              <w:jc w:val="left"/>
            </w:pPr>
            <w:r>
              <w:t>Summer 2025</w:t>
            </w:r>
          </w:p>
        </w:tc>
      </w:tr>
      <w:tr w:rsidR="002C617F" w14:paraId="111F2850" w14:textId="77777777" w:rsidTr="00C63CAF">
        <w:trPr>
          <w:trHeight w:val="2133"/>
        </w:trPr>
        <w:tc>
          <w:tcPr>
            <w:tcW w:w="3061" w:type="dxa"/>
            <w:vAlign w:val="center"/>
          </w:tcPr>
          <w:p w14:paraId="5E3E483A" w14:textId="491721A6" w:rsidR="002C617F" w:rsidRDefault="002C617F" w:rsidP="002C617F">
            <w:pPr>
              <w:pStyle w:val="BodyText1"/>
              <w:jc w:val="left"/>
            </w:pPr>
            <w:r>
              <w:t>Update / create new vocational qualifications to meet the needs of firestopping specialist installers</w:t>
            </w:r>
          </w:p>
        </w:tc>
        <w:tc>
          <w:tcPr>
            <w:tcW w:w="3057" w:type="dxa"/>
            <w:vAlign w:val="center"/>
          </w:tcPr>
          <w:p w14:paraId="1665CCD6" w14:textId="398A69B0" w:rsidR="002C617F" w:rsidRPr="000638E6" w:rsidRDefault="002C617F" w:rsidP="002C617F">
            <w:pPr>
              <w:pStyle w:val="BodyText1"/>
              <w:jc w:val="left"/>
            </w:pPr>
            <w:r w:rsidRPr="000638E6">
              <w:t>To develop fit for purpose vocational qualifications at level 2 to contribute towards confirmation of initial competence for Specialist Firestopping Installers</w:t>
            </w:r>
          </w:p>
        </w:tc>
        <w:tc>
          <w:tcPr>
            <w:tcW w:w="1543" w:type="dxa"/>
            <w:vAlign w:val="center"/>
          </w:tcPr>
          <w:p w14:paraId="5A6FF991" w14:textId="200CA3B2" w:rsidR="002C617F" w:rsidRDefault="002C617F" w:rsidP="002C617F">
            <w:pPr>
              <w:pStyle w:val="BodyText1"/>
              <w:jc w:val="left"/>
            </w:pPr>
            <w:r>
              <w:t>Awarding Bodies</w:t>
            </w:r>
          </w:p>
        </w:tc>
        <w:tc>
          <w:tcPr>
            <w:tcW w:w="1406" w:type="dxa"/>
            <w:vAlign w:val="center"/>
          </w:tcPr>
          <w:p w14:paraId="14C628FD" w14:textId="0741A1DF" w:rsidR="002C617F" w:rsidRDefault="002C617F" w:rsidP="002C617F">
            <w:pPr>
              <w:pStyle w:val="BodyText1"/>
              <w:jc w:val="left"/>
            </w:pPr>
            <w:r>
              <w:t>Summer 2025</w:t>
            </w:r>
          </w:p>
        </w:tc>
      </w:tr>
    </w:tbl>
    <w:p w14:paraId="482739EA" w14:textId="77777777" w:rsidR="0034659B" w:rsidRDefault="0034659B" w:rsidP="00BB0944">
      <w:pPr>
        <w:pStyle w:val="BodyText1"/>
      </w:pPr>
    </w:p>
    <w:p w14:paraId="65836189" w14:textId="77777777" w:rsidR="00A41BEA" w:rsidRDefault="00A41BEA" w:rsidP="00BB0944">
      <w:pPr>
        <w:pStyle w:val="BodyText1"/>
      </w:pPr>
    </w:p>
    <w:p w14:paraId="5BC50526" w14:textId="1B665370" w:rsidR="00A41BEA" w:rsidRDefault="00A41BEA" w:rsidP="00BB0944">
      <w:pPr>
        <w:pStyle w:val="BodyText1"/>
        <w:sectPr w:rsidR="00A41BEA">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pPr>
    </w:p>
    <w:p w14:paraId="71B60314" w14:textId="68AA9637" w:rsidR="00DE41B8" w:rsidRDefault="00DE41B8" w:rsidP="001F6770">
      <w:pPr>
        <w:pStyle w:val="Heading5"/>
        <w:jc w:val="both"/>
      </w:pPr>
      <w:bookmarkStart w:id="30" w:name="_Ref136463936"/>
      <w:bookmarkStart w:id="31" w:name="_Toc136540387"/>
      <w:r>
        <w:lastRenderedPageBreak/>
        <w:t xml:space="preserve">Appendix </w:t>
      </w:r>
      <w:r w:rsidR="00FF64A7">
        <w:t>1</w:t>
      </w:r>
      <w:r>
        <w:t xml:space="preserve"> – </w:t>
      </w:r>
      <w:bookmarkStart w:id="32" w:name="_Ref134097184"/>
      <w:r>
        <w:t>Level descriptors</w:t>
      </w:r>
      <w:bookmarkEnd w:id="30"/>
      <w:bookmarkEnd w:id="32"/>
      <w:bookmarkEnd w:id="31"/>
    </w:p>
    <w:p w14:paraId="01D0234A" w14:textId="37F44C70" w:rsidR="00DE41B8" w:rsidRDefault="009E20F8" w:rsidP="001F6770">
      <w:pPr>
        <w:jc w:val="both"/>
      </w:pPr>
      <w:r>
        <w:t xml:space="preserve">The activities detailed within the functional map in section  </w:t>
      </w:r>
      <w:r>
        <w:fldChar w:fldCharType="begin"/>
      </w:r>
      <w:r>
        <w:instrText xml:space="preserve"> REF _Ref136347729 \r \h </w:instrText>
      </w:r>
      <w:r>
        <w:fldChar w:fldCharType="separate"/>
      </w:r>
      <w:r>
        <w:t>3</w:t>
      </w:r>
      <w:r>
        <w:fldChar w:fldCharType="end"/>
      </w:r>
      <w:r>
        <w:t xml:space="preserve"> (</w:t>
      </w:r>
      <w:r>
        <w:fldChar w:fldCharType="begin"/>
      </w:r>
      <w:r>
        <w:instrText xml:space="preserve"> REF _Ref136347729 \h </w:instrText>
      </w:r>
      <w:r>
        <w:fldChar w:fldCharType="separate"/>
      </w:r>
      <w:r w:rsidRPr="004B4C5F">
        <w:t>functional map and framework of competencies</w:t>
      </w:r>
      <w:r>
        <w:fldChar w:fldCharType="end"/>
      </w:r>
      <w:r>
        <w:t>) have been split into</w:t>
      </w:r>
      <w:r w:rsidR="001622FA">
        <w:t xml:space="preserve"> five levels based on the complexity of the activities. These levels are linked to</w:t>
      </w:r>
      <w:r w:rsidR="00D03BF3">
        <w:t xml:space="preserve"> levels associated with UK and European regulated qualifications frameworks</w:t>
      </w:r>
      <w:r w:rsidR="00710AEF">
        <w:t xml:space="preserve"> and have also been benchmarked against</w:t>
      </w:r>
      <w:r w:rsidR="00D479AF">
        <w:t xml:space="preserve"> key professional status</w:t>
      </w:r>
      <w:r w:rsidR="008521B8">
        <w:t>es</w:t>
      </w:r>
      <w:r w:rsidR="00B16555">
        <w:t>. It should be noted</w:t>
      </w:r>
      <w:r w:rsidR="008521B8">
        <w:t xml:space="preserve"> that </w:t>
      </w:r>
      <w:r w:rsidR="00475F3B">
        <w:t>these descriptors are intended to provide information on the framework level</w:t>
      </w:r>
      <w:r w:rsidR="006015F9">
        <w:t xml:space="preserve"> and </w:t>
      </w:r>
      <w:r w:rsidR="00B317C8">
        <w:t>examples of alignment to other existing</w:t>
      </w:r>
      <w:r w:rsidR="00CB3188">
        <w:t xml:space="preserve"> frameworks</w:t>
      </w:r>
      <w:r w:rsidR="00B317C8">
        <w:t xml:space="preserve"> training, qualifications</w:t>
      </w:r>
      <w:r w:rsidR="00CC5DD1">
        <w:t>,</w:t>
      </w:r>
      <w:r w:rsidR="00B317C8">
        <w:t xml:space="preserve"> or related products only. This does not infer that these products will necessarily appear in</w:t>
      </w:r>
      <w:r w:rsidR="00CC5DD1">
        <w:t>, or form the basis of, routes to competence.</w:t>
      </w:r>
    </w:p>
    <w:tbl>
      <w:tblPr>
        <w:tblStyle w:val="TableGrid"/>
        <w:tblW w:w="0" w:type="auto"/>
        <w:tblLook w:val="04A0" w:firstRow="1" w:lastRow="0" w:firstColumn="1" w:lastColumn="0" w:noHBand="0" w:noVBand="1"/>
      </w:tblPr>
      <w:tblGrid>
        <w:gridCol w:w="2117"/>
        <w:gridCol w:w="3671"/>
        <w:gridCol w:w="3705"/>
        <w:gridCol w:w="1147"/>
        <w:gridCol w:w="3308"/>
      </w:tblGrid>
      <w:tr w:rsidR="004D5321" w:rsidRPr="00264F9A" w14:paraId="329C1749" w14:textId="77777777" w:rsidTr="00915415">
        <w:tc>
          <w:tcPr>
            <w:tcW w:w="2117" w:type="dxa"/>
            <w:shd w:val="clear" w:color="auto" w:fill="D9D9D9" w:themeFill="background1" w:themeFillShade="D9"/>
            <w:vAlign w:val="center"/>
          </w:tcPr>
          <w:p w14:paraId="00BC81A6" w14:textId="77777777" w:rsidR="004D5321" w:rsidRPr="00264F9A" w:rsidRDefault="004D5321" w:rsidP="00706848">
            <w:pPr>
              <w:rPr>
                <w:sz w:val="18"/>
                <w:szCs w:val="18"/>
              </w:rPr>
            </w:pPr>
          </w:p>
        </w:tc>
        <w:tc>
          <w:tcPr>
            <w:tcW w:w="3671" w:type="dxa"/>
            <w:shd w:val="clear" w:color="auto" w:fill="D9D9D9" w:themeFill="background1" w:themeFillShade="D9"/>
          </w:tcPr>
          <w:p w14:paraId="154652D7" w14:textId="77777777" w:rsidR="004D5321" w:rsidRPr="00264F9A" w:rsidRDefault="004D5321" w:rsidP="00706848">
            <w:pPr>
              <w:jc w:val="center"/>
              <w:rPr>
                <w:b/>
                <w:bCs/>
                <w:sz w:val="18"/>
                <w:szCs w:val="18"/>
              </w:rPr>
            </w:pPr>
          </w:p>
        </w:tc>
        <w:tc>
          <w:tcPr>
            <w:tcW w:w="8160" w:type="dxa"/>
            <w:gridSpan w:val="3"/>
            <w:shd w:val="clear" w:color="auto" w:fill="D9D9D9" w:themeFill="background1" w:themeFillShade="D9"/>
            <w:vAlign w:val="center"/>
          </w:tcPr>
          <w:p w14:paraId="04DF20AB" w14:textId="55115713" w:rsidR="004D5321" w:rsidRPr="00264F9A" w:rsidRDefault="004D5321" w:rsidP="00706848">
            <w:pPr>
              <w:jc w:val="center"/>
              <w:rPr>
                <w:b/>
                <w:bCs/>
                <w:sz w:val="18"/>
                <w:szCs w:val="18"/>
              </w:rPr>
            </w:pPr>
            <w:r w:rsidRPr="00264F9A">
              <w:rPr>
                <w:b/>
                <w:bCs/>
                <w:sz w:val="18"/>
                <w:szCs w:val="18"/>
              </w:rPr>
              <w:t>Existing indicators:</w:t>
            </w:r>
          </w:p>
          <w:p w14:paraId="6F53DAA1" w14:textId="77777777" w:rsidR="004D5321" w:rsidRPr="00264F9A" w:rsidRDefault="004D5321" w:rsidP="00706848">
            <w:pPr>
              <w:jc w:val="center"/>
              <w:rPr>
                <w:sz w:val="16"/>
                <w:szCs w:val="16"/>
              </w:rPr>
            </w:pPr>
            <w:r w:rsidRPr="00264F9A">
              <w:rPr>
                <w:sz w:val="16"/>
                <w:szCs w:val="16"/>
              </w:rPr>
              <w:t>The information below provides an indication of how the FSSG framework levels link to the levels set within existing regulated frameworks and professional framework, and that types of activities that sit at those levels.</w:t>
            </w:r>
          </w:p>
          <w:p w14:paraId="37CC6123" w14:textId="2CAE1439" w:rsidR="004D5321" w:rsidRPr="00264F9A" w:rsidRDefault="004D5321" w:rsidP="00706848">
            <w:pPr>
              <w:jc w:val="center"/>
              <w:rPr>
                <w:sz w:val="18"/>
                <w:szCs w:val="18"/>
              </w:rPr>
            </w:pPr>
            <w:r w:rsidRPr="00264F9A">
              <w:rPr>
                <w:sz w:val="16"/>
                <w:szCs w:val="16"/>
              </w:rPr>
              <w:t>[NB: this is not a list of competence requirements or routes to competence and is provided for guidance purposes only]</w:t>
            </w:r>
          </w:p>
        </w:tc>
      </w:tr>
      <w:tr w:rsidR="004D5321" w:rsidRPr="00264F9A" w14:paraId="2DCC6D28" w14:textId="77777777" w:rsidTr="00221959">
        <w:tc>
          <w:tcPr>
            <w:tcW w:w="2117" w:type="dxa"/>
            <w:shd w:val="clear" w:color="auto" w:fill="D9D9D9" w:themeFill="background1" w:themeFillShade="D9"/>
            <w:vAlign w:val="center"/>
          </w:tcPr>
          <w:p w14:paraId="293612DA" w14:textId="37ADEFA9" w:rsidR="004D5321" w:rsidRPr="00264F9A" w:rsidRDefault="004D5321" w:rsidP="00A65E0B">
            <w:pPr>
              <w:rPr>
                <w:b/>
                <w:bCs/>
                <w:sz w:val="18"/>
                <w:szCs w:val="18"/>
              </w:rPr>
            </w:pPr>
            <w:r w:rsidRPr="00264F9A">
              <w:rPr>
                <w:b/>
                <w:bCs/>
                <w:sz w:val="18"/>
                <w:szCs w:val="18"/>
              </w:rPr>
              <w:t>FSSG framework level</w:t>
            </w:r>
          </w:p>
        </w:tc>
        <w:tc>
          <w:tcPr>
            <w:tcW w:w="3671" w:type="dxa"/>
            <w:shd w:val="clear" w:color="auto" w:fill="D9D9D9" w:themeFill="background1" w:themeFillShade="D9"/>
            <w:vAlign w:val="center"/>
          </w:tcPr>
          <w:p w14:paraId="717A6DE7" w14:textId="200F4219" w:rsidR="004D5321" w:rsidRPr="00264F9A" w:rsidRDefault="00D038C2" w:rsidP="00A65E0B">
            <w:pPr>
              <w:rPr>
                <w:b/>
                <w:bCs/>
                <w:sz w:val="18"/>
                <w:szCs w:val="18"/>
              </w:rPr>
            </w:pPr>
            <w:r w:rsidRPr="00264F9A">
              <w:rPr>
                <w:b/>
                <w:bCs/>
                <w:sz w:val="18"/>
                <w:szCs w:val="18"/>
              </w:rPr>
              <w:t>Level descriptor</w:t>
            </w:r>
          </w:p>
        </w:tc>
        <w:tc>
          <w:tcPr>
            <w:tcW w:w="3705" w:type="dxa"/>
            <w:shd w:val="clear" w:color="auto" w:fill="D9D9D9" w:themeFill="background1" w:themeFillShade="D9"/>
            <w:vAlign w:val="center"/>
          </w:tcPr>
          <w:p w14:paraId="1A7E0C0A" w14:textId="09287E1A" w:rsidR="004D5321" w:rsidRPr="00264F9A" w:rsidRDefault="004D5321" w:rsidP="00A65E0B">
            <w:pPr>
              <w:rPr>
                <w:b/>
                <w:bCs/>
                <w:sz w:val="18"/>
                <w:szCs w:val="18"/>
              </w:rPr>
            </w:pPr>
            <w:r w:rsidRPr="00264F9A">
              <w:rPr>
                <w:b/>
                <w:bCs/>
                <w:sz w:val="18"/>
                <w:szCs w:val="18"/>
              </w:rPr>
              <w:t>Regulated framework levels</w:t>
            </w:r>
          </w:p>
        </w:tc>
        <w:tc>
          <w:tcPr>
            <w:tcW w:w="1147" w:type="dxa"/>
            <w:shd w:val="clear" w:color="auto" w:fill="D9D9D9" w:themeFill="background1" w:themeFillShade="D9"/>
            <w:vAlign w:val="center"/>
          </w:tcPr>
          <w:p w14:paraId="70A0A31D" w14:textId="656990BD" w:rsidR="004D5321" w:rsidRPr="00264F9A" w:rsidRDefault="004D5321" w:rsidP="00A65E0B">
            <w:pPr>
              <w:rPr>
                <w:b/>
                <w:bCs/>
                <w:sz w:val="18"/>
                <w:szCs w:val="18"/>
              </w:rPr>
            </w:pPr>
            <w:r w:rsidRPr="00264F9A">
              <w:rPr>
                <w:b/>
                <w:bCs/>
                <w:sz w:val="18"/>
                <w:szCs w:val="18"/>
              </w:rPr>
              <w:t>UK-SPEC*</w:t>
            </w:r>
          </w:p>
        </w:tc>
        <w:tc>
          <w:tcPr>
            <w:tcW w:w="3308" w:type="dxa"/>
            <w:shd w:val="clear" w:color="auto" w:fill="D9D9D9" w:themeFill="background1" w:themeFillShade="D9"/>
            <w:vAlign w:val="center"/>
          </w:tcPr>
          <w:p w14:paraId="5D9E7450" w14:textId="57E0F152" w:rsidR="004D5321" w:rsidRPr="00264F9A" w:rsidRDefault="004D5321" w:rsidP="00A65E0B">
            <w:pPr>
              <w:rPr>
                <w:b/>
                <w:bCs/>
                <w:sz w:val="18"/>
                <w:szCs w:val="18"/>
              </w:rPr>
            </w:pPr>
            <w:r w:rsidRPr="00264F9A">
              <w:rPr>
                <w:b/>
                <w:bCs/>
                <w:sz w:val="18"/>
                <w:szCs w:val="18"/>
              </w:rPr>
              <w:t>Activity types</w:t>
            </w:r>
          </w:p>
        </w:tc>
      </w:tr>
      <w:tr w:rsidR="004D5321" w:rsidRPr="00264F9A" w14:paraId="58452F18" w14:textId="77777777" w:rsidTr="00915415">
        <w:tc>
          <w:tcPr>
            <w:tcW w:w="2117" w:type="dxa"/>
            <w:shd w:val="clear" w:color="auto" w:fill="DDEBF7"/>
            <w:vAlign w:val="center"/>
          </w:tcPr>
          <w:p w14:paraId="168471F9" w14:textId="018F18AF" w:rsidR="004D5321" w:rsidRPr="00264F9A" w:rsidRDefault="004D5321" w:rsidP="00AC64C3">
            <w:pPr>
              <w:rPr>
                <w:sz w:val="18"/>
                <w:szCs w:val="18"/>
              </w:rPr>
            </w:pPr>
            <w:r w:rsidRPr="00264F9A">
              <w:rPr>
                <w:sz w:val="18"/>
                <w:szCs w:val="18"/>
              </w:rPr>
              <w:t>Foundation</w:t>
            </w:r>
          </w:p>
        </w:tc>
        <w:tc>
          <w:tcPr>
            <w:tcW w:w="3671" w:type="dxa"/>
            <w:shd w:val="clear" w:color="auto" w:fill="DDEBF7"/>
            <w:vAlign w:val="center"/>
          </w:tcPr>
          <w:p w14:paraId="7F21E269" w14:textId="38349E93" w:rsidR="004D5321" w:rsidRPr="00264F9A" w:rsidRDefault="00A02EA0" w:rsidP="00AC64C3">
            <w:pPr>
              <w:rPr>
                <w:rFonts w:ascii="Calibri" w:hAnsi="Calibri" w:cs="Calibri"/>
                <w:color w:val="000000"/>
                <w:sz w:val="18"/>
                <w:szCs w:val="18"/>
              </w:rPr>
            </w:pPr>
            <w:r w:rsidRPr="00264F9A">
              <w:rPr>
                <w:rFonts w:ascii="Calibri" w:hAnsi="Calibri" w:cs="Calibri"/>
                <w:color w:val="000000"/>
                <w:sz w:val="18"/>
                <w:szCs w:val="18"/>
              </w:rPr>
              <w:t>Operational activities undertaken, supervised or unsupervised, within existing defined procedures</w:t>
            </w:r>
          </w:p>
        </w:tc>
        <w:tc>
          <w:tcPr>
            <w:tcW w:w="3705" w:type="dxa"/>
            <w:tcBorders>
              <w:top w:val="single" w:sz="4" w:space="0" w:color="auto"/>
              <w:left w:val="single" w:sz="4" w:space="0" w:color="auto"/>
              <w:bottom w:val="single" w:sz="4" w:space="0" w:color="auto"/>
              <w:right w:val="single" w:sz="4" w:space="0" w:color="auto"/>
            </w:tcBorders>
            <w:shd w:val="clear" w:color="auto" w:fill="DDEBF7"/>
            <w:vAlign w:val="center"/>
          </w:tcPr>
          <w:p w14:paraId="72151A25" w14:textId="07E1DE82" w:rsidR="004D5321" w:rsidRPr="00264F9A" w:rsidRDefault="004D5321" w:rsidP="00AC64C3">
            <w:pPr>
              <w:rPr>
                <w:sz w:val="18"/>
                <w:szCs w:val="18"/>
              </w:rPr>
            </w:pPr>
            <w:proofErr w:type="spellStart"/>
            <w:r w:rsidRPr="00264F9A">
              <w:rPr>
                <w:rFonts w:ascii="Calibri" w:hAnsi="Calibri" w:cs="Calibri"/>
                <w:color w:val="000000"/>
                <w:sz w:val="18"/>
                <w:szCs w:val="18"/>
              </w:rPr>
              <w:t>EQF</w:t>
            </w:r>
            <w:proofErr w:type="spellEnd"/>
            <w:r w:rsidRPr="00264F9A">
              <w:rPr>
                <w:rFonts w:ascii="Calibri" w:hAnsi="Calibri" w:cs="Calibri"/>
                <w:color w:val="000000"/>
                <w:sz w:val="18"/>
                <w:szCs w:val="18"/>
              </w:rPr>
              <w:t xml:space="preserve"> level 3</w:t>
            </w:r>
            <w:r w:rsidRPr="00264F9A">
              <w:rPr>
                <w:rFonts w:ascii="Calibri" w:hAnsi="Calibri" w:cs="Calibri"/>
                <w:color w:val="000000"/>
                <w:sz w:val="18"/>
                <w:szCs w:val="18"/>
              </w:rPr>
              <w:br/>
            </w:r>
            <w:proofErr w:type="spellStart"/>
            <w:r w:rsidRPr="00264F9A">
              <w:rPr>
                <w:rFonts w:ascii="Calibri" w:hAnsi="Calibri" w:cs="Calibri"/>
                <w:color w:val="000000"/>
                <w:sz w:val="18"/>
                <w:szCs w:val="18"/>
              </w:rPr>
              <w:t>RQF</w:t>
            </w:r>
            <w:proofErr w:type="spellEnd"/>
            <w:r w:rsidRPr="00264F9A">
              <w:rPr>
                <w:rFonts w:ascii="Calibri" w:hAnsi="Calibri" w:cs="Calibri"/>
                <w:color w:val="000000"/>
                <w:sz w:val="18"/>
                <w:szCs w:val="18"/>
              </w:rPr>
              <w:t xml:space="preserve"> / </w:t>
            </w:r>
            <w:proofErr w:type="spellStart"/>
            <w:r w:rsidRPr="00264F9A">
              <w:rPr>
                <w:rFonts w:ascii="Calibri" w:hAnsi="Calibri" w:cs="Calibri"/>
                <w:color w:val="000000"/>
                <w:sz w:val="18"/>
                <w:szCs w:val="18"/>
              </w:rPr>
              <w:t>CQFW</w:t>
            </w:r>
            <w:proofErr w:type="spellEnd"/>
            <w:r w:rsidRPr="00264F9A">
              <w:rPr>
                <w:rFonts w:ascii="Calibri" w:hAnsi="Calibri" w:cs="Calibri"/>
                <w:color w:val="000000"/>
                <w:sz w:val="18"/>
                <w:szCs w:val="18"/>
              </w:rPr>
              <w:t xml:space="preserve"> level 2</w:t>
            </w:r>
            <w:r w:rsidRPr="00264F9A">
              <w:rPr>
                <w:rFonts w:ascii="Calibri" w:hAnsi="Calibri" w:cs="Calibri"/>
                <w:color w:val="000000"/>
                <w:sz w:val="18"/>
                <w:szCs w:val="18"/>
              </w:rPr>
              <w:br/>
              <w:t>SCQF level 5</w:t>
            </w:r>
            <w:r w:rsidRPr="00264F9A">
              <w:rPr>
                <w:rFonts w:ascii="Calibri" w:hAnsi="Calibri" w:cs="Calibri"/>
                <w:color w:val="000000"/>
                <w:sz w:val="18"/>
                <w:szCs w:val="18"/>
              </w:rPr>
              <w:br/>
            </w:r>
            <w:proofErr w:type="spellStart"/>
            <w:r w:rsidRPr="00264F9A">
              <w:rPr>
                <w:rFonts w:ascii="Calibri" w:hAnsi="Calibri" w:cs="Calibri"/>
                <w:color w:val="000000"/>
                <w:sz w:val="18"/>
                <w:szCs w:val="18"/>
              </w:rPr>
              <w:t>NQF</w:t>
            </w:r>
            <w:proofErr w:type="spellEnd"/>
            <w:r w:rsidRPr="00264F9A">
              <w:rPr>
                <w:rFonts w:ascii="Calibri" w:hAnsi="Calibri" w:cs="Calibri"/>
                <w:color w:val="000000"/>
                <w:sz w:val="18"/>
                <w:szCs w:val="18"/>
              </w:rPr>
              <w:t xml:space="preserve"> IE level 4</w:t>
            </w:r>
          </w:p>
        </w:tc>
        <w:tc>
          <w:tcPr>
            <w:tcW w:w="1147" w:type="dxa"/>
            <w:tcBorders>
              <w:top w:val="single" w:sz="4" w:space="0" w:color="auto"/>
              <w:left w:val="nil"/>
              <w:bottom w:val="single" w:sz="4" w:space="0" w:color="auto"/>
              <w:right w:val="single" w:sz="4" w:space="0" w:color="auto"/>
            </w:tcBorders>
            <w:shd w:val="clear" w:color="auto" w:fill="DDEBF7"/>
            <w:vAlign w:val="center"/>
          </w:tcPr>
          <w:p w14:paraId="2E990297" w14:textId="14A1FCEB" w:rsidR="004D5321" w:rsidRPr="00264F9A" w:rsidRDefault="004D5321" w:rsidP="00AC64C3">
            <w:pPr>
              <w:rPr>
                <w:sz w:val="18"/>
                <w:szCs w:val="18"/>
              </w:rPr>
            </w:pPr>
          </w:p>
        </w:tc>
        <w:tc>
          <w:tcPr>
            <w:tcW w:w="3308" w:type="dxa"/>
            <w:tcBorders>
              <w:top w:val="single" w:sz="4" w:space="0" w:color="auto"/>
              <w:left w:val="nil"/>
              <w:bottom w:val="single" w:sz="4" w:space="0" w:color="auto"/>
              <w:right w:val="single" w:sz="4" w:space="0" w:color="auto"/>
            </w:tcBorders>
            <w:shd w:val="clear" w:color="auto" w:fill="DDEBF7"/>
            <w:vAlign w:val="center"/>
          </w:tcPr>
          <w:p w14:paraId="3F052C27" w14:textId="472F170C" w:rsidR="004D5321" w:rsidRPr="00264F9A" w:rsidRDefault="004D5321" w:rsidP="00AC64C3">
            <w:pPr>
              <w:rPr>
                <w:sz w:val="18"/>
                <w:szCs w:val="18"/>
              </w:rPr>
            </w:pPr>
            <w:r w:rsidRPr="00264F9A">
              <w:rPr>
                <w:rFonts w:ascii="Calibri" w:hAnsi="Calibri" w:cs="Calibri"/>
                <w:color w:val="000000"/>
                <w:sz w:val="18"/>
                <w:szCs w:val="18"/>
              </w:rPr>
              <w:t xml:space="preserve">Installation of </w:t>
            </w:r>
            <w:proofErr w:type="spellStart"/>
            <w:r w:rsidRPr="00264F9A">
              <w:rPr>
                <w:rFonts w:ascii="Calibri" w:hAnsi="Calibri" w:cs="Calibri"/>
                <w:color w:val="000000"/>
                <w:sz w:val="18"/>
                <w:szCs w:val="18"/>
              </w:rPr>
              <w:t>PFP</w:t>
            </w:r>
            <w:proofErr w:type="spellEnd"/>
            <w:r w:rsidRPr="00264F9A">
              <w:rPr>
                <w:rFonts w:ascii="Calibri" w:hAnsi="Calibri" w:cs="Calibri"/>
                <w:color w:val="000000"/>
                <w:sz w:val="18"/>
                <w:szCs w:val="18"/>
              </w:rPr>
              <w:br/>
              <w:t>Team leading</w:t>
            </w:r>
          </w:p>
        </w:tc>
      </w:tr>
      <w:tr w:rsidR="004D5321" w:rsidRPr="00264F9A" w14:paraId="7E9713B1" w14:textId="77777777" w:rsidTr="00221959">
        <w:trPr>
          <w:trHeight w:val="1209"/>
        </w:trPr>
        <w:tc>
          <w:tcPr>
            <w:tcW w:w="2117" w:type="dxa"/>
            <w:shd w:val="clear" w:color="auto" w:fill="D7F5F4"/>
            <w:vAlign w:val="center"/>
          </w:tcPr>
          <w:p w14:paraId="712C9BF5" w14:textId="58AF0238" w:rsidR="004D5321" w:rsidRPr="00264F9A" w:rsidRDefault="004D5321" w:rsidP="00AC64C3">
            <w:pPr>
              <w:rPr>
                <w:sz w:val="18"/>
                <w:szCs w:val="18"/>
              </w:rPr>
            </w:pPr>
            <w:r w:rsidRPr="00264F9A">
              <w:rPr>
                <w:sz w:val="18"/>
                <w:szCs w:val="18"/>
              </w:rPr>
              <w:t>Intermediate</w:t>
            </w:r>
          </w:p>
        </w:tc>
        <w:tc>
          <w:tcPr>
            <w:tcW w:w="3671" w:type="dxa"/>
            <w:shd w:val="clear" w:color="auto" w:fill="D7F5F4"/>
            <w:vAlign w:val="center"/>
          </w:tcPr>
          <w:p w14:paraId="0347C012" w14:textId="131F105F" w:rsidR="004D5321" w:rsidRPr="00264F9A" w:rsidRDefault="00A02EA0" w:rsidP="00AC64C3">
            <w:pPr>
              <w:rPr>
                <w:rFonts w:ascii="Calibri" w:hAnsi="Calibri" w:cs="Calibri"/>
                <w:color w:val="000000"/>
                <w:sz w:val="18"/>
                <w:szCs w:val="18"/>
              </w:rPr>
            </w:pPr>
            <w:r w:rsidRPr="00264F9A">
              <w:rPr>
                <w:rFonts w:ascii="Calibri" w:hAnsi="Calibri" w:cs="Calibri"/>
                <w:color w:val="000000"/>
                <w:sz w:val="18"/>
                <w:szCs w:val="18"/>
              </w:rPr>
              <w:t>Supervisory and independent activities that complete tasks and address problems that, while well-defined, may be complex and non-routine</w:t>
            </w:r>
          </w:p>
        </w:tc>
        <w:tc>
          <w:tcPr>
            <w:tcW w:w="3705" w:type="dxa"/>
            <w:tcBorders>
              <w:top w:val="single" w:sz="4" w:space="0" w:color="auto"/>
              <w:left w:val="single" w:sz="4" w:space="0" w:color="auto"/>
              <w:bottom w:val="single" w:sz="4" w:space="0" w:color="auto"/>
              <w:right w:val="single" w:sz="4" w:space="0" w:color="auto"/>
            </w:tcBorders>
            <w:shd w:val="clear" w:color="auto" w:fill="D7F5F4"/>
            <w:vAlign w:val="center"/>
          </w:tcPr>
          <w:p w14:paraId="576809F4" w14:textId="5BEF3817" w:rsidR="004D5321" w:rsidRPr="00264F9A" w:rsidRDefault="004D5321" w:rsidP="00AC64C3">
            <w:pPr>
              <w:rPr>
                <w:sz w:val="18"/>
                <w:szCs w:val="18"/>
              </w:rPr>
            </w:pPr>
            <w:proofErr w:type="spellStart"/>
            <w:r w:rsidRPr="00264F9A">
              <w:rPr>
                <w:rFonts w:ascii="Calibri" w:hAnsi="Calibri" w:cs="Calibri"/>
                <w:color w:val="000000"/>
                <w:sz w:val="18"/>
                <w:szCs w:val="18"/>
              </w:rPr>
              <w:t>EQF</w:t>
            </w:r>
            <w:proofErr w:type="spellEnd"/>
            <w:r w:rsidRPr="00264F9A">
              <w:rPr>
                <w:rFonts w:ascii="Calibri" w:hAnsi="Calibri" w:cs="Calibri"/>
                <w:color w:val="000000"/>
                <w:sz w:val="18"/>
                <w:szCs w:val="18"/>
              </w:rPr>
              <w:t xml:space="preserve"> level 4</w:t>
            </w:r>
            <w:r w:rsidRPr="00264F9A">
              <w:rPr>
                <w:rFonts w:ascii="Calibri" w:hAnsi="Calibri" w:cs="Calibri"/>
                <w:color w:val="000000"/>
                <w:sz w:val="18"/>
                <w:szCs w:val="18"/>
              </w:rPr>
              <w:br/>
            </w:r>
            <w:proofErr w:type="spellStart"/>
            <w:r w:rsidRPr="00264F9A">
              <w:rPr>
                <w:rFonts w:ascii="Calibri" w:hAnsi="Calibri" w:cs="Calibri"/>
                <w:color w:val="000000"/>
                <w:sz w:val="18"/>
                <w:szCs w:val="18"/>
              </w:rPr>
              <w:t>RQF</w:t>
            </w:r>
            <w:proofErr w:type="spellEnd"/>
            <w:r w:rsidRPr="00264F9A">
              <w:rPr>
                <w:rFonts w:ascii="Calibri" w:hAnsi="Calibri" w:cs="Calibri"/>
                <w:color w:val="000000"/>
                <w:sz w:val="18"/>
                <w:szCs w:val="18"/>
              </w:rPr>
              <w:t xml:space="preserve"> / </w:t>
            </w:r>
            <w:proofErr w:type="spellStart"/>
            <w:r w:rsidRPr="00264F9A">
              <w:rPr>
                <w:rFonts w:ascii="Calibri" w:hAnsi="Calibri" w:cs="Calibri"/>
                <w:color w:val="000000"/>
                <w:sz w:val="18"/>
                <w:szCs w:val="18"/>
              </w:rPr>
              <w:t>CQFW</w:t>
            </w:r>
            <w:proofErr w:type="spellEnd"/>
            <w:r w:rsidRPr="00264F9A">
              <w:rPr>
                <w:rFonts w:ascii="Calibri" w:hAnsi="Calibri" w:cs="Calibri"/>
                <w:color w:val="000000"/>
                <w:sz w:val="18"/>
                <w:szCs w:val="18"/>
              </w:rPr>
              <w:t xml:space="preserve"> level 3</w:t>
            </w:r>
            <w:r w:rsidRPr="00264F9A">
              <w:rPr>
                <w:rFonts w:ascii="Calibri" w:hAnsi="Calibri" w:cs="Calibri"/>
                <w:color w:val="000000"/>
                <w:sz w:val="18"/>
                <w:szCs w:val="18"/>
              </w:rPr>
              <w:br/>
              <w:t>SCQF level 6</w:t>
            </w:r>
            <w:r w:rsidRPr="00264F9A">
              <w:rPr>
                <w:rFonts w:ascii="Calibri" w:hAnsi="Calibri" w:cs="Calibri"/>
                <w:color w:val="000000"/>
                <w:sz w:val="18"/>
                <w:szCs w:val="18"/>
              </w:rPr>
              <w:br/>
            </w:r>
            <w:proofErr w:type="spellStart"/>
            <w:r w:rsidRPr="00264F9A">
              <w:rPr>
                <w:rFonts w:ascii="Calibri" w:hAnsi="Calibri" w:cs="Calibri"/>
                <w:color w:val="000000"/>
                <w:sz w:val="18"/>
                <w:szCs w:val="18"/>
              </w:rPr>
              <w:t>NQF</w:t>
            </w:r>
            <w:proofErr w:type="spellEnd"/>
            <w:r w:rsidRPr="00264F9A">
              <w:rPr>
                <w:rFonts w:ascii="Calibri" w:hAnsi="Calibri" w:cs="Calibri"/>
                <w:color w:val="000000"/>
                <w:sz w:val="18"/>
                <w:szCs w:val="18"/>
              </w:rPr>
              <w:t xml:space="preserve"> IE level 5</w:t>
            </w:r>
          </w:p>
        </w:tc>
        <w:tc>
          <w:tcPr>
            <w:tcW w:w="1147" w:type="dxa"/>
            <w:tcBorders>
              <w:top w:val="single" w:sz="4" w:space="0" w:color="auto"/>
              <w:left w:val="nil"/>
              <w:bottom w:val="single" w:sz="4" w:space="0" w:color="auto"/>
              <w:right w:val="single" w:sz="4" w:space="0" w:color="auto"/>
            </w:tcBorders>
            <w:shd w:val="clear" w:color="auto" w:fill="D7F5F4"/>
            <w:vAlign w:val="center"/>
          </w:tcPr>
          <w:p w14:paraId="4D52AA89" w14:textId="12333125" w:rsidR="004D5321" w:rsidRPr="00264F9A" w:rsidRDefault="004D5321" w:rsidP="00AC64C3">
            <w:pPr>
              <w:rPr>
                <w:sz w:val="18"/>
                <w:szCs w:val="18"/>
              </w:rPr>
            </w:pPr>
            <w:proofErr w:type="spellStart"/>
            <w:r w:rsidRPr="00264F9A">
              <w:rPr>
                <w:rFonts w:ascii="Calibri" w:hAnsi="Calibri" w:cs="Calibri"/>
                <w:color w:val="000000"/>
                <w:sz w:val="18"/>
                <w:szCs w:val="18"/>
              </w:rPr>
              <w:t>EngTech</w:t>
            </w:r>
            <w:proofErr w:type="spellEnd"/>
          </w:p>
        </w:tc>
        <w:tc>
          <w:tcPr>
            <w:tcW w:w="3308" w:type="dxa"/>
            <w:tcBorders>
              <w:top w:val="single" w:sz="4" w:space="0" w:color="auto"/>
              <w:left w:val="nil"/>
              <w:bottom w:val="single" w:sz="4" w:space="0" w:color="auto"/>
              <w:right w:val="single" w:sz="4" w:space="0" w:color="auto"/>
            </w:tcBorders>
            <w:shd w:val="clear" w:color="auto" w:fill="D7F5F4"/>
            <w:vAlign w:val="center"/>
          </w:tcPr>
          <w:p w14:paraId="77651BE3" w14:textId="50F122B2" w:rsidR="004D5321" w:rsidRPr="00264F9A" w:rsidRDefault="004D5321" w:rsidP="00AC64C3">
            <w:pPr>
              <w:rPr>
                <w:sz w:val="18"/>
                <w:szCs w:val="18"/>
              </w:rPr>
            </w:pPr>
            <w:r w:rsidRPr="00264F9A">
              <w:rPr>
                <w:rFonts w:ascii="Calibri" w:hAnsi="Calibri" w:cs="Calibri"/>
                <w:color w:val="000000"/>
                <w:sz w:val="18"/>
                <w:szCs w:val="18"/>
              </w:rPr>
              <w:t>Supervision / site supervision</w:t>
            </w:r>
            <w:r w:rsidRPr="00264F9A">
              <w:rPr>
                <w:rFonts w:ascii="Calibri" w:hAnsi="Calibri" w:cs="Calibri"/>
                <w:color w:val="000000"/>
                <w:sz w:val="18"/>
                <w:szCs w:val="18"/>
              </w:rPr>
              <w:br/>
              <w:t>Technical supervision</w:t>
            </w:r>
            <w:r w:rsidRPr="00264F9A">
              <w:rPr>
                <w:rFonts w:ascii="Calibri" w:hAnsi="Calibri" w:cs="Calibri"/>
                <w:color w:val="000000"/>
                <w:sz w:val="18"/>
                <w:szCs w:val="18"/>
              </w:rPr>
              <w:br/>
              <w:t>Technical product selection</w:t>
            </w:r>
            <w:r w:rsidRPr="00264F9A">
              <w:rPr>
                <w:rFonts w:ascii="Calibri" w:hAnsi="Calibri" w:cs="Calibri"/>
                <w:color w:val="000000"/>
                <w:sz w:val="18"/>
                <w:szCs w:val="18"/>
              </w:rPr>
              <w:br/>
              <w:t>Contract supervision</w:t>
            </w:r>
            <w:r w:rsidRPr="00264F9A">
              <w:rPr>
                <w:rFonts w:ascii="Calibri" w:hAnsi="Calibri" w:cs="Calibri"/>
                <w:color w:val="000000"/>
                <w:sz w:val="18"/>
                <w:szCs w:val="18"/>
              </w:rPr>
              <w:br/>
              <w:t>Installer / client employed inspection</w:t>
            </w:r>
          </w:p>
        </w:tc>
      </w:tr>
      <w:tr w:rsidR="004D5321" w:rsidRPr="00264F9A" w14:paraId="79360291" w14:textId="77777777" w:rsidTr="00915415">
        <w:tc>
          <w:tcPr>
            <w:tcW w:w="2117" w:type="dxa"/>
            <w:shd w:val="clear" w:color="auto" w:fill="FFF2CC" w:themeFill="accent4" w:themeFillTint="33"/>
            <w:vAlign w:val="center"/>
          </w:tcPr>
          <w:p w14:paraId="04DB68B6" w14:textId="5726948E" w:rsidR="004D5321" w:rsidRPr="00264F9A" w:rsidRDefault="004D5321" w:rsidP="00AC64C3">
            <w:pPr>
              <w:rPr>
                <w:sz w:val="18"/>
                <w:szCs w:val="18"/>
              </w:rPr>
            </w:pPr>
            <w:r w:rsidRPr="00264F9A">
              <w:rPr>
                <w:sz w:val="18"/>
                <w:szCs w:val="18"/>
              </w:rPr>
              <w:t>Experienced</w:t>
            </w:r>
          </w:p>
        </w:tc>
        <w:tc>
          <w:tcPr>
            <w:tcW w:w="3671" w:type="dxa"/>
            <w:shd w:val="clear" w:color="auto" w:fill="FFF2CC" w:themeFill="accent4" w:themeFillTint="33"/>
            <w:vAlign w:val="center"/>
          </w:tcPr>
          <w:p w14:paraId="154CE716" w14:textId="24CA35E0" w:rsidR="004D5321" w:rsidRPr="00264F9A" w:rsidRDefault="00A02EA0" w:rsidP="00AC64C3">
            <w:pPr>
              <w:rPr>
                <w:rFonts w:ascii="Calibri" w:hAnsi="Calibri" w:cs="Calibri"/>
                <w:color w:val="000000"/>
                <w:sz w:val="18"/>
                <w:szCs w:val="18"/>
              </w:rPr>
            </w:pPr>
            <w:r w:rsidRPr="00264F9A">
              <w:rPr>
                <w:rFonts w:ascii="Calibri" w:hAnsi="Calibri" w:cs="Calibri"/>
                <w:color w:val="000000"/>
                <w:sz w:val="18"/>
                <w:szCs w:val="18"/>
              </w:rPr>
              <w:t>Activities that broadly involved making independent decisions or taking responsibility in broadly defined, complex contexts</w:t>
            </w:r>
          </w:p>
        </w:tc>
        <w:tc>
          <w:tcPr>
            <w:tcW w:w="370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04CC7E2" w14:textId="56F52302" w:rsidR="004D5321" w:rsidRPr="00264F9A" w:rsidRDefault="004D5321" w:rsidP="00AC64C3">
            <w:pPr>
              <w:rPr>
                <w:sz w:val="18"/>
                <w:szCs w:val="18"/>
              </w:rPr>
            </w:pPr>
            <w:proofErr w:type="spellStart"/>
            <w:r w:rsidRPr="00264F9A">
              <w:rPr>
                <w:rFonts w:ascii="Calibri" w:hAnsi="Calibri" w:cs="Calibri"/>
                <w:color w:val="000000"/>
                <w:sz w:val="18"/>
                <w:szCs w:val="18"/>
              </w:rPr>
              <w:t>EQF</w:t>
            </w:r>
            <w:proofErr w:type="spellEnd"/>
            <w:r w:rsidRPr="00264F9A">
              <w:rPr>
                <w:rFonts w:ascii="Calibri" w:hAnsi="Calibri" w:cs="Calibri"/>
                <w:color w:val="000000"/>
                <w:sz w:val="18"/>
                <w:szCs w:val="18"/>
              </w:rPr>
              <w:t xml:space="preserve"> level 5</w:t>
            </w:r>
            <w:r w:rsidRPr="00264F9A">
              <w:rPr>
                <w:rFonts w:ascii="Calibri" w:hAnsi="Calibri" w:cs="Calibri"/>
                <w:color w:val="000000"/>
                <w:sz w:val="18"/>
                <w:szCs w:val="18"/>
              </w:rPr>
              <w:br/>
            </w:r>
            <w:proofErr w:type="spellStart"/>
            <w:r w:rsidRPr="00264F9A">
              <w:rPr>
                <w:rFonts w:ascii="Calibri" w:hAnsi="Calibri" w:cs="Calibri"/>
                <w:color w:val="000000"/>
                <w:sz w:val="18"/>
                <w:szCs w:val="18"/>
              </w:rPr>
              <w:t>RQF</w:t>
            </w:r>
            <w:proofErr w:type="spellEnd"/>
            <w:r w:rsidRPr="00264F9A">
              <w:rPr>
                <w:rFonts w:ascii="Calibri" w:hAnsi="Calibri" w:cs="Calibri"/>
                <w:color w:val="000000"/>
                <w:sz w:val="18"/>
                <w:szCs w:val="18"/>
              </w:rPr>
              <w:t xml:space="preserve"> / </w:t>
            </w:r>
            <w:proofErr w:type="spellStart"/>
            <w:r w:rsidRPr="00264F9A">
              <w:rPr>
                <w:rFonts w:ascii="Calibri" w:hAnsi="Calibri" w:cs="Calibri"/>
                <w:color w:val="000000"/>
                <w:sz w:val="18"/>
                <w:szCs w:val="18"/>
              </w:rPr>
              <w:t>CQFW</w:t>
            </w:r>
            <w:proofErr w:type="spellEnd"/>
            <w:r w:rsidRPr="00264F9A">
              <w:rPr>
                <w:rFonts w:ascii="Calibri" w:hAnsi="Calibri" w:cs="Calibri"/>
                <w:color w:val="000000"/>
                <w:sz w:val="18"/>
                <w:szCs w:val="18"/>
              </w:rPr>
              <w:t xml:space="preserve"> level 4/5</w:t>
            </w:r>
            <w:r w:rsidRPr="00264F9A">
              <w:rPr>
                <w:rFonts w:ascii="Calibri" w:hAnsi="Calibri" w:cs="Calibri"/>
                <w:color w:val="000000"/>
                <w:sz w:val="18"/>
                <w:szCs w:val="18"/>
              </w:rPr>
              <w:br/>
            </w:r>
            <w:proofErr w:type="spellStart"/>
            <w:r w:rsidRPr="00264F9A">
              <w:rPr>
                <w:rFonts w:ascii="Calibri" w:hAnsi="Calibri" w:cs="Calibri"/>
                <w:color w:val="000000"/>
                <w:sz w:val="18"/>
                <w:szCs w:val="18"/>
              </w:rPr>
              <w:t>FHEQ</w:t>
            </w:r>
            <w:proofErr w:type="spellEnd"/>
            <w:r w:rsidRPr="00264F9A">
              <w:rPr>
                <w:rFonts w:ascii="Calibri" w:hAnsi="Calibri" w:cs="Calibri"/>
                <w:color w:val="000000"/>
                <w:sz w:val="18"/>
                <w:szCs w:val="18"/>
              </w:rPr>
              <w:t xml:space="preserve"> level 4/5 (</w:t>
            </w:r>
            <w:proofErr w:type="spellStart"/>
            <w:r w:rsidRPr="00264F9A">
              <w:rPr>
                <w:rFonts w:ascii="Calibri" w:hAnsi="Calibri" w:cs="Calibri"/>
                <w:color w:val="000000"/>
                <w:sz w:val="18"/>
                <w:szCs w:val="18"/>
              </w:rPr>
              <w:t>HNC</w:t>
            </w:r>
            <w:proofErr w:type="spellEnd"/>
            <w:r w:rsidRPr="00264F9A">
              <w:rPr>
                <w:rFonts w:ascii="Calibri" w:hAnsi="Calibri" w:cs="Calibri"/>
                <w:color w:val="000000"/>
                <w:sz w:val="18"/>
                <w:szCs w:val="18"/>
              </w:rPr>
              <w:t xml:space="preserve"> (</w:t>
            </w:r>
            <w:proofErr w:type="spellStart"/>
            <w:r w:rsidRPr="00264F9A">
              <w:rPr>
                <w:rFonts w:ascii="Calibri" w:hAnsi="Calibri" w:cs="Calibri"/>
                <w:color w:val="000000"/>
                <w:sz w:val="18"/>
                <w:szCs w:val="18"/>
              </w:rPr>
              <w:t>L4</w:t>
            </w:r>
            <w:proofErr w:type="spellEnd"/>
            <w:r w:rsidRPr="00264F9A">
              <w:rPr>
                <w:rFonts w:ascii="Calibri" w:hAnsi="Calibri" w:cs="Calibri"/>
                <w:color w:val="000000"/>
                <w:sz w:val="18"/>
                <w:szCs w:val="18"/>
              </w:rPr>
              <w:t>); Foundation Degree, HND, short cycle (</w:t>
            </w:r>
            <w:proofErr w:type="spellStart"/>
            <w:r w:rsidRPr="00264F9A">
              <w:rPr>
                <w:rFonts w:ascii="Calibri" w:hAnsi="Calibri" w:cs="Calibri"/>
                <w:color w:val="000000"/>
                <w:sz w:val="18"/>
                <w:szCs w:val="18"/>
              </w:rPr>
              <w:t>L5</w:t>
            </w:r>
            <w:proofErr w:type="spellEnd"/>
            <w:r w:rsidRPr="00264F9A">
              <w:rPr>
                <w:rFonts w:ascii="Calibri" w:hAnsi="Calibri" w:cs="Calibri"/>
                <w:color w:val="000000"/>
                <w:sz w:val="18"/>
                <w:szCs w:val="18"/>
              </w:rPr>
              <w:t>))</w:t>
            </w:r>
            <w:r w:rsidRPr="00264F9A">
              <w:rPr>
                <w:rFonts w:ascii="Calibri" w:hAnsi="Calibri" w:cs="Calibri"/>
                <w:color w:val="000000"/>
                <w:sz w:val="18"/>
                <w:szCs w:val="18"/>
              </w:rPr>
              <w:br/>
              <w:t>SCQF level 7/8</w:t>
            </w:r>
            <w:r w:rsidRPr="00264F9A">
              <w:rPr>
                <w:rFonts w:ascii="Calibri" w:hAnsi="Calibri" w:cs="Calibri"/>
                <w:color w:val="000000"/>
                <w:sz w:val="18"/>
                <w:szCs w:val="18"/>
              </w:rPr>
              <w:br/>
            </w:r>
            <w:proofErr w:type="spellStart"/>
            <w:r w:rsidRPr="00264F9A">
              <w:rPr>
                <w:rFonts w:ascii="Calibri" w:hAnsi="Calibri" w:cs="Calibri"/>
                <w:color w:val="000000"/>
                <w:sz w:val="18"/>
                <w:szCs w:val="18"/>
              </w:rPr>
              <w:t>NQF</w:t>
            </w:r>
            <w:proofErr w:type="spellEnd"/>
            <w:r w:rsidRPr="00264F9A">
              <w:rPr>
                <w:rFonts w:ascii="Calibri" w:hAnsi="Calibri" w:cs="Calibri"/>
                <w:color w:val="000000"/>
                <w:sz w:val="18"/>
                <w:szCs w:val="18"/>
              </w:rPr>
              <w:t xml:space="preserve"> IE level 6</w:t>
            </w:r>
          </w:p>
        </w:tc>
        <w:tc>
          <w:tcPr>
            <w:tcW w:w="114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4C9D2B07" w14:textId="4764F1FD" w:rsidR="004D5321" w:rsidRPr="00264F9A" w:rsidRDefault="004D5321" w:rsidP="00AC64C3">
            <w:pPr>
              <w:rPr>
                <w:sz w:val="18"/>
                <w:szCs w:val="18"/>
              </w:rPr>
            </w:pPr>
            <w:r w:rsidRPr="00264F9A">
              <w:rPr>
                <w:rFonts w:ascii="Calibri" w:hAnsi="Calibri" w:cs="Calibri"/>
                <w:color w:val="000000"/>
                <w:sz w:val="18"/>
                <w:szCs w:val="18"/>
              </w:rPr>
              <w:t> </w:t>
            </w:r>
          </w:p>
        </w:tc>
        <w:tc>
          <w:tcPr>
            <w:tcW w:w="3308"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4488842F" w14:textId="06A44D15" w:rsidR="004D5321" w:rsidRPr="00264F9A" w:rsidRDefault="004D5321" w:rsidP="00AC64C3">
            <w:pPr>
              <w:rPr>
                <w:sz w:val="18"/>
                <w:szCs w:val="18"/>
              </w:rPr>
            </w:pPr>
            <w:r w:rsidRPr="00264F9A">
              <w:rPr>
                <w:rFonts w:ascii="Calibri" w:hAnsi="Calibri" w:cs="Calibri"/>
                <w:color w:val="000000"/>
                <w:sz w:val="18"/>
                <w:szCs w:val="18"/>
              </w:rPr>
              <w:t>Construction site supervision</w:t>
            </w:r>
            <w:r w:rsidRPr="00264F9A">
              <w:rPr>
                <w:rFonts w:ascii="Calibri" w:hAnsi="Calibri" w:cs="Calibri"/>
                <w:color w:val="000000"/>
                <w:sz w:val="18"/>
                <w:szCs w:val="18"/>
              </w:rPr>
              <w:br/>
              <w:t>Authorised signatory / relevant responsible person</w:t>
            </w:r>
          </w:p>
        </w:tc>
      </w:tr>
      <w:tr w:rsidR="004D5321" w:rsidRPr="00264F9A" w14:paraId="6FB4FA4A" w14:textId="77777777" w:rsidTr="00915415">
        <w:tc>
          <w:tcPr>
            <w:tcW w:w="2117" w:type="dxa"/>
            <w:shd w:val="clear" w:color="auto" w:fill="FBE4D5" w:themeFill="accent2" w:themeFillTint="33"/>
            <w:vAlign w:val="center"/>
          </w:tcPr>
          <w:p w14:paraId="280D6346" w14:textId="4EBBB102" w:rsidR="004D5321" w:rsidRPr="00264F9A" w:rsidRDefault="004D5321" w:rsidP="00AC64C3">
            <w:pPr>
              <w:rPr>
                <w:sz w:val="18"/>
                <w:szCs w:val="18"/>
              </w:rPr>
            </w:pPr>
            <w:r w:rsidRPr="00264F9A">
              <w:rPr>
                <w:sz w:val="18"/>
                <w:szCs w:val="18"/>
              </w:rPr>
              <w:t>Advanced</w:t>
            </w:r>
          </w:p>
        </w:tc>
        <w:tc>
          <w:tcPr>
            <w:tcW w:w="3671" w:type="dxa"/>
            <w:shd w:val="clear" w:color="000000" w:fill="FCE4D6"/>
            <w:vAlign w:val="center"/>
          </w:tcPr>
          <w:p w14:paraId="4DA560F0" w14:textId="1DB7B95B" w:rsidR="004D5321" w:rsidRPr="00264F9A" w:rsidRDefault="00A02EA0" w:rsidP="00AC64C3">
            <w:pPr>
              <w:rPr>
                <w:rFonts w:ascii="Calibri" w:hAnsi="Calibri" w:cs="Calibri"/>
                <w:color w:val="000000"/>
                <w:sz w:val="18"/>
                <w:szCs w:val="18"/>
              </w:rPr>
            </w:pPr>
            <w:r w:rsidRPr="00264F9A">
              <w:rPr>
                <w:rFonts w:ascii="Calibri" w:hAnsi="Calibri" w:cs="Calibri"/>
                <w:color w:val="000000"/>
                <w:sz w:val="18"/>
                <w:szCs w:val="18"/>
              </w:rPr>
              <w:t>Activities that involved critical analysis and evaluation of different perspectives, approaches or schools of thought, and the theories that underpin them</w:t>
            </w:r>
          </w:p>
        </w:tc>
        <w:tc>
          <w:tcPr>
            <w:tcW w:w="3705" w:type="dxa"/>
            <w:tcBorders>
              <w:top w:val="single" w:sz="4" w:space="0" w:color="auto"/>
              <w:left w:val="single" w:sz="4" w:space="0" w:color="auto"/>
              <w:bottom w:val="single" w:sz="4" w:space="0" w:color="auto"/>
              <w:right w:val="single" w:sz="4" w:space="0" w:color="auto"/>
            </w:tcBorders>
            <w:shd w:val="clear" w:color="000000" w:fill="FCE4D6"/>
            <w:vAlign w:val="center"/>
          </w:tcPr>
          <w:p w14:paraId="24A62BCE" w14:textId="5B25A12F" w:rsidR="004D5321" w:rsidRPr="00264F9A" w:rsidRDefault="004D5321" w:rsidP="00AC64C3">
            <w:pPr>
              <w:rPr>
                <w:sz w:val="18"/>
                <w:szCs w:val="18"/>
              </w:rPr>
            </w:pPr>
            <w:proofErr w:type="spellStart"/>
            <w:r w:rsidRPr="00264F9A">
              <w:rPr>
                <w:rFonts w:ascii="Calibri" w:hAnsi="Calibri" w:cs="Calibri"/>
                <w:color w:val="000000"/>
                <w:sz w:val="18"/>
                <w:szCs w:val="18"/>
              </w:rPr>
              <w:t>EQF</w:t>
            </w:r>
            <w:proofErr w:type="spellEnd"/>
            <w:r w:rsidRPr="00264F9A">
              <w:rPr>
                <w:rFonts w:ascii="Calibri" w:hAnsi="Calibri" w:cs="Calibri"/>
                <w:color w:val="000000"/>
                <w:sz w:val="18"/>
                <w:szCs w:val="18"/>
              </w:rPr>
              <w:t xml:space="preserve"> level 6</w:t>
            </w:r>
            <w:r w:rsidRPr="00264F9A">
              <w:rPr>
                <w:rFonts w:ascii="Calibri" w:hAnsi="Calibri" w:cs="Calibri"/>
                <w:color w:val="000000"/>
                <w:sz w:val="18"/>
                <w:szCs w:val="18"/>
              </w:rPr>
              <w:br/>
            </w:r>
            <w:proofErr w:type="spellStart"/>
            <w:r w:rsidRPr="00264F9A">
              <w:rPr>
                <w:rFonts w:ascii="Calibri" w:hAnsi="Calibri" w:cs="Calibri"/>
                <w:color w:val="000000"/>
                <w:sz w:val="18"/>
                <w:szCs w:val="18"/>
              </w:rPr>
              <w:t>RQF</w:t>
            </w:r>
            <w:proofErr w:type="spellEnd"/>
            <w:r w:rsidRPr="00264F9A">
              <w:rPr>
                <w:rFonts w:ascii="Calibri" w:hAnsi="Calibri" w:cs="Calibri"/>
                <w:color w:val="000000"/>
                <w:sz w:val="18"/>
                <w:szCs w:val="18"/>
              </w:rPr>
              <w:t xml:space="preserve"> / </w:t>
            </w:r>
            <w:proofErr w:type="spellStart"/>
            <w:r w:rsidRPr="00264F9A">
              <w:rPr>
                <w:rFonts w:ascii="Calibri" w:hAnsi="Calibri" w:cs="Calibri"/>
                <w:color w:val="000000"/>
                <w:sz w:val="18"/>
                <w:szCs w:val="18"/>
              </w:rPr>
              <w:t>CQFW</w:t>
            </w:r>
            <w:proofErr w:type="spellEnd"/>
            <w:r w:rsidRPr="00264F9A">
              <w:rPr>
                <w:rFonts w:ascii="Calibri" w:hAnsi="Calibri" w:cs="Calibri"/>
                <w:color w:val="000000"/>
                <w:sz w:val="18"/>
                <w:szCs w:val="18"/>
              </w:rPr>
              <w:t xml:space="preserve"> level 6</w:t>
            </w:r>
            <w:r w:rsidRPr="00264F9A">
              <w:rPr>
                <w:rFonts w:ascii="Calibri" w:hAnsi="Calibri" w:cs="Calibri"/>
                <w:color w:val="000000"/>
                <w:sz w:val="18"/>
                <w:szCs w:val="18"/>
              </w:rPr>
              <w:br/>
            </w:r>
            <w:proofErr w:type="spellStart"/>
            <w:r w:rsidRPr="00264F9A">
              <w:rPr>
                <w:rFonts w:ascii="Calibri" w:hAnsi="Calibri" w:cs="Calibri"/>
                <w:color w:val="000000"/>
                <w:sz w:val="18"/>
                <w:szCs w:val="18"/>
              </w:rPr>
              <w:t>FHEQ</w:t>
            </w:r>
            <w:proofErr w:type="spellEnd"/>
            <w:r w:rsidRPr="00264F9A">
              <w:rPr>
                <w:rFonts w:ascii="Calibri" w:hAnsi="Calibri" w:cs="Calibri"/>
                <w:color w:val="000000"/>
                <w:sz w:val="18"/>
                <w:szCs w:val="18"/>
              </w:rPr>
              <w:t xml:space="preserve"> level 6 (Batchelor's Degree, first cycle)</w:t>
            </w:r>
            <w:r w:rsidRPr="00264F9A">
              <w:rPr>
                <w:rFonts w:ascii="Calibri" w:hAnsi="Calibri" w:cs="Calibri"/>
                <w:color w:val="000000"/>
                <w:sz w:val="18"/>
                <w:szCs w:val="18"/>
              </w:rPr>
              <w:br/>
              <w:t>SCQF level 9/10</w:t>
            </w:r>
            <w:r w:rsidRPr="00264F9A">
              <w:rPr>
                <w:rFonts w:ascii="Calibri" w:hAnsi="Calibri" w:cs="Calibri"/>
                <w:color w:val="000000"/>
                <w:sz w:val="18"/>
                <w:szCs w:val="18"/>
              </w:rPr>
              <w:br/>
            </w:r>
            <w:proofErr w:type="spellStart"/>
            <w:r w:rsidRPr="00264F9A">
              <w:rPr>
                <w:rFonts w:ascii="Calibri" w:hAnsi="Calibri" w:cs="Calibri"/>
                <w:color w:val="000000"/>
                <w:sz w:val="18"/>
                <w:szCs w:val="18"/>
              </w:rPr>
              <w:t>NQF</w:t>
            </w:r>
            <w:proofErr w:type="spellEnd"/>
            <w:r w:rsidRPr="00264F9A">
              <w:rPr>
                <w:rFonts w:ascii="Calibri" w:hAnsi="Calibri" w:cs="Calibri"/>
                <w:color w:val="000000"/>
                <w:sz w:val="18"/>
                <w:szCs w:val="18"/>
              </w:rPr>
              <w:t xml:space="preserve"> IE level 7/8</w:t>
            </w:r>
          </w:p>
        </w:tc>
        <w:tc>
          <w:tcPr>
            <w:tcW w:w="1147" w:type="dxa"/>
            <w:tcBorders>
              <w:top w:val="single" w:sz="4" w:space="0" w:color="auto"/>
              <w:left w:val="nil"/>
              <w:bottom w:val="single" w:sz="4" w:space="0" w:color="auto"/>
              <w:right w:val="single" w:sz="4" w:space="0" w:color="auto"/>
            </w:tcBorders>
            <w:shd w:val="clear" w:color="000000" w:fill="FCE4D6"/>
            <w:vAlign w:val="center"/>
          </w:tcPr>
          <w:p w14:paraId="15EB3A3B" w14:textId="49D959AD" w:rsidR="004D5321" w:rsidRPr="00264F9A" w:rsidRDefault="004D5321" w:rsidP="00AC64C3">
            <w:pPr>
              <w:rPr>
                <w:sz w:val="18"/>
                <w:szCs w:val="18"/>
              </w:rPr>
            </w:pPr>
            <w:proofErr w:type="spellStart"/>
            <w:r w:rsidRPr="00264F9A">
              <w:rPr>
                <w:rFonts w:ascii="Calibri" w:hAnsi="Calibri" w:cs="Calibri"/>
                <w:color w:val="000000"/>
                <w:sz w:val="18"/>
                <w:szCs w:val="18"/>
              </w:rPr>
              <w:t>IEng</w:t>
            </w:r>
            <w:proofErr w:type="spellEnd"/>
          </w:p>
        </w:tc>
        <w:tc>
          <w:tcPr>
            <w:tcW w:w="3308" w:type="dxa"/>
            <w:tcBorders>
              <w:top w:val="single" w:sz="4" w:space="0" w:color="auto"/>
              <w:left w:val="nil"/>
              <w:bottom w:val="single" w:sz="4" w:space="0" w:color="auto"/>
              <w:right w:val="single" w:sz="4" w:space="0" w:color="auto"/>
            </w:tcBorders>
            <w:shd w:val="clear" w:color="000000" w:fill="FCE4D6"/>
            <w:vAlign w:val="center"/>
          </w:tcPr>
          <w:p w14:paraId="7C25AC57" w14:textId="32521E4F" w:rsidR="004D5321" w:rsidRPr="00264F9A" w:rsidRDefault="004D5321" w:rsidP="00AC64C3">
            <w:pPr>
              <w:rPr>
                <w:sz w:val="18"/>
                <w:szCs w:val="18"/>
              </w:rPr>
            </w:pPr>
            <w:r w:rsidRPr="00264F9A">
              <w:rPr>
                <w:rFonts w:ascii="Calibri" w:hAnsi="Calibri" w:cs="Calibri"/>
                <w:color w:val="000000"/>
                <w:sz w:val="18"/>
                <w:szCs w:val="18"/>
              </w:rPr>
              <w:t>Construction site management</w:t>
            </w:r>
            <w:r w:rsidRPr="00264F9A">
              <w:rPr>
                <w:rFonts w:ascii="Calibri" w:hAnsi="Calibri" w:cs="Calibri"/>
                <w:color w:val="000000"/>
                <w:sz w:val="18"/>
                <w:szCs w:val="18"/>
              </w:rPr>
              <w:br/>
              <w:t>Project / contract management</w:t>
            </w:r>
          </w:p>
        </w:tc>
      </w:tr>
      <w:tr w:rsidR="004D5321" w:rsidRPr="00264F9A" w14:paraId="2A1D83FF" w14:textId="77777777" w:rsidTr="00915415">
        <w:tc>
          <w:tcPr>
            <w:tcW w:w="2117" w:type="dxa"/>
            <w:shd w:val="clear" w:color="auto" w:fill="F6D6EE"/>
            <w:vAlign w:val="center"/>
          </w:tcPr>
          <w:p w14:paraId="0CF2DDED" w14:textId="7AE24A76" w:rsidR="004D5321" w:rsidRPr="00264F9A" w:rsidRDefault="004D5321" w:rsidP="00AC64C3">
            <w:pPr>
              <w:rPr>
                <w:sz w:val="18"/>
                <w:szCs w:val="18"/>
              </w:rPr>
            </w:pPr>
            <w:r w:rsidRPr="00264F9A">
              <w:rPr>
                <w:sz w:val="18"/>
                <w:szCs w:val="18"/>
              </w:rPr>
              <w:t>Au</w:t>
            </w:r>
            <w:r w:rsidRPr="00915415">
              <w:rPr>
                <w:sz w:val="18"/>
                <w:szCs w:val="18"/>
                <w:shd w:val="clear" w:color="auto" w:fill="F6D6EE"/>
              </w:rPr>
              <w:t>thoritative</w:t>
            </w:r>
          </w:p>
        </w:tc>
        <w:tc>
          <w:tcPr>
            <w:tcW w:w="3671" w:type="dxa"/>
            <w:shd w:val="clear" w:color="auto" w:fill="F6D6EE"/>
            <w:vAlign w:val="center"/>
          </w:tcPr>
          <w:p w14:paraId="5AD37503" w14:textId="5856A2FF" w:rsidR="004D5321" w:rsidRPr="00264F9A" w:rsidRDefault="00CA67BC" w:rsidP="00AC64C3">
            <w:pPr>
              <w:rPr>
                <w:rFonts w:ascii="Calibri" w:hAnsi="Calibri" w:cs="Calibri"/>
                <w:color w:val="000000"/>
                <w:sz w:val="18"/>
                <w:szCs w:val="18"/>
              </w:rPr>
            </w:pPr>
            <w:r w:rsidRPr="00264F9A">
              <w:rPr>
                <w:rFonts w:ascii="Calibri" w:hAnsi="Calibri" w:cs="Calibri"/>
                <w:color w:val="000000"/>
                <w:sz w:val="18"/>
                <w:szCs w:val="18"/>
              </w:rPr>
              <w:t xml:space="preserve">Complex or strategic activities that inform the direction of </w:t>
            </w:r>
            <w:r w:rsidR="00960163" w:rsidRPr="00264F9A">
              <w:rPr>
                <w:rFonts w:ascii="Calibri" w:hAnsi="Calibri" w:cs="Calibri"/>
                <w:color w:val="000000"/>
                <w:sz w:val="18"/>
                <w:szCs w:val="18"/>
              </w:rPr>
              <w:t xml:space="preserve">work or </w:t>
            </w:r>
            <w:r w:rsidRPr="00264F9A">
              <w:rPr>
                <w:rFonts w:ascii="Calibri" w:hAnsi="Calibri" w:cs="Calibri"/>
                <w:color w:val="000000"/>
                <w:sz w:val="18"/>
                <w:szCs w:val="18"/>
              </w:rPr>
              <w:t>the b</w:t>
            </w:r>
            <w:r w:rsidR="009D484E" w:rsidRPr="00264F9A">
              <w:rPr>
                <w:rFonts w:ascii="Calibri" w:hAnsi="Calibri" w:cs="Calibri"/>
                <w:color w:val="000000"/>
                <w:sz w:val="18"/>
                <w:szCs w:val="18"/>
              </w:rPr>
              <w:t>roa</w:t>
            </w:r>
            <w:r w:rsidRPr="00264F9A">
              <w:rPr>
                <w:rFonts w:ascii="Calibri" w:hAnsi="Calibri" w:cs="Calibri"/>
                <w:color w:val="000000"/>
                <w:sz w:val="18"/>
                <w:szCs w:val="18"/>
              </w:rPr>
              <w:t xml:space="preserve">der industry, including understanding </w:t>
            </w:r>
            <w:r w:rsidR="006C5517" w:rsidRPr="00264F9A">
              <w:rPr>
                <w:rFonts w:ascii="Calibri" w:hAnsi="Calibri" w:cs="Calibri"/>
                <w:color w:val="000000"/>
                <w:sz w:val="18"/>
                <w:szCs w:val="18"/>
              </w:rPr>
              <w:t>the wider context and current develo</w:t>
            </w:r>
            <w:r w:rsidR="001163F8" w:rsidRPr="00264F9A">
              <w:rPr>
                <w:rFonts w:ascii="Calibri" w:hAnsi="Calibri" w:cs="Calibri"/>
                <w:color w:val="000000"/>
                <w:sz w:val="18"/>
                <w:szCs w:val="18"/>
              </w:rPr>
              <w:t>pments, and producing change</w:t>
            </w:r>
          </w:p>
        </w:tc>
        <w:tc>
          <w:tcPr>
            <w:tcW w:w="3705" w:type="dxa"/>
            <w:tcBorders>
              <w:top w:val="single" w:sz="4" w:space="0" w:color="auto"/>
              <w:left w:val="single" w:sz="4" w:space="0" w:color="auto"/>
              <w:bottom w:val="single" w:sz="4" w:space="0" w:color="auto"/>
              <w:right w:val="single" w:sz="4" w:space="0" w:color="auto"/>
            </w:tcBorders>
            <w:shd w:val="clear" w:color="auto" w:fill="F6D6EE"/>
            <w:vAlign w:val="center"/>
          </w:tcPr>
          <w:p w14:paraId="5C387615" w14:textId="0FE4E28A" w:rsidR="004D5321" w:rsidRPr="00264F9A" w:rsidRDefault="004D5321" w:rsidP="00AC64C3">
            <w:pPr>
              <w:rPr>
                <w:sz w:val="18"/>
                <w:szCs w:val="18"/>
              </w:rPr>
            </w:pPr>
            <w:proofErr w:type="spellStart"/>
            <w:r w:rsidRPr="00264F9A">
              <w:rPr>
                <w:rFonts w:ascii="Calibri" w:hAnsi="Calibri" w:cs="Calibri"/>
                <w:color w:val="000000"/>
                <w:sz w:val="18"/>
                <w:szCs w:val="18"/>
              </w:rPr>
              <w:t>EQF</w:t>
            </w:r>
            <w:proofErr w:type="spellEnd"/>
            <w:r w:rsidRPr="00264F9A">
              <w:rPr>
                <w:rFonts w:ascii="Calibri" w:hAnsi="Calibri" w:cs="Calibri"/>
                <w:color w:val="000000"/>
                <w:sz w:val="18"/>
                <w:szCs w:val="18"/>
              </w:rPr>
              <w:t xml:space="preserve"> level 7</w:t>
            </w:r>
            <w:r w:rsidRPr="00264F9A">
              <w:rPr>
                <w:rFonts w:ascii="Calibri" w:hAnsi="Calibri" w:cs="Calibri"/>
                <w:color w:val="000000"/>
                <w:sz w:val="18"/>
                <w:szCs w:val="18"/>
              </w:rPr>
              <w:br/>
            </w:r>
            <w:proofErr w:type="spellStart"/>
            <w:r w:rsidRPr="00264F9A">
              <w:rPr>
                <w:rFonts w:ascii="Calibri" w:hAnsi="Calibri" w:cs="Calibri"/>
                <w:color w:val="000000"/>
                <w:sz w:val="18"/>
                <w:szCs w:val="18"/>
              </w:rPr>
              <w:t>RQF</w:t>
            </w:r>
            <w:proofErr w:type="spellEnd"/>
            <w:r w:rsidRPr="00264F9A">
              <w:rPr>
                <w:rFonts w:ascii="Calibri" w:hAnsi="Calibri" w:cs="Calibri"/>
                <w:color w:val="000000"/>
                <w:sz w:val="18"/>
                <w:szCs w:val="18"/>
              </w:rPr>
              <w:t xml:space="preserve"> / </w:t>
            </w:r>
            <w:proofErr w:type="spellStart"/>
            <w:r w:rsidRPr="00264F9A">
              <w:rPr>
                <w:rFonts w:ascii="Calibri" w:hAnsi="Calibri" w:cs="Calibri"/>
                <w:color w:val="000000"/>
                <w:sz w:val="18"/>
                <w:szCs w:val="18"/>
              </w:rPr>
              <w:t>CQFW</w:t>
            </w:r>
            <w:proofErr w:type="spellEnd"/>
            <w:r w:rsidRPr="00264F9A">
              <w:rPr>
                <w:rFonts w:ascii="Calibri" w:hAnsi="Calibri" w:cs="Calibri"/>
                <w:color w:val="000000"/>
                <w:sz w:val="18"/>
                <w:szCs w:val="18"/>
              </w:rPr>
              <w:t xml:space="preserve"> level 7</w:t>
            </w:r>
            <w:r w:rsidRPr="00264F9A">
              <w:rPr>
                <w:rFonts w:ascii="Calibri" w:hAnsi="Calibri" w:cs="Calibri"/>
                <w:color w:val="000000"/>
                <w:sz w:val="18"/>
                <w:szCs w:val="18"/>
              </w:rPr>
              <w:br/>
            </w:r>
            <w:proofErr w:type="spellStart"/>
            <w:r w:rsidRPr="00264F9A">
              <w:rPr>
                <w:rFonts w:ascii="Calibri" w:hAnsi="Calibri" w:cs="Calibri"/>
                <w:color w:val="000000"/>
                <w:sz w:val="18"/>
                <w:szCs w:val="18"/>
              </w:rPr>
              <w:t>FHEQ</w:t>
            </w:r>
            <w:proofErr w:type="spellEnd"/>
            <w:r w:rsidRPr="00264F9A">
              <w:rPr>
                <w:rFonts w:ascii="Calibri" w:hAnsi="Calibri" w:cs="Calibri"/>
                <w:color w:val="000000"/>
                <w:sz w:val="18"/>
                <w:szCs w:val="18"/>
              </w:rPr>
              <w:t xml:space="preserve"> level 7 (</w:t>
            </w:r>
            <w:proofErr w:type="gramStart"/>
            <w:r w:rsidRPr="00264F9A">
              <w:rPr>
                <w:rFonts w:ascii="Calibri" w:hAnsi="Calibri" w:cs="Calibri"/>
                <w:color w:val="000000"/>
                <w:sz w:val="18"/>
                <w:szCs w:val="18"/>
              </w:rPr>
              <w:t>Master's Degree</w:t>
            </w:r>
            <w:proofErr w:type="gramEnd"/>
            <w:r w:rsidRPr="00264F9A">
              <w:rPr>
                <w:rFonts w:ascii="Calibri" w:hAnsi="Calibri" w:cs="Calibri"/>
                <w:color w:val="000000"/>
                <w:sz w:val="18"/>
                <w:szCs w:val="18"/>
              </w:rPr>
              <w:t>, second cycle)</w:t>
            </w:r>
            <w:r w:rsidRPr="00264F9A">
              <w:rPr>
                <w:rFonts w:ascii="Calibri" w:hAnsi="Calibri" w:cs="Calibri"/>
                <w:color w:val="000000"/>
                <w:sz w:val="18"/>
                <w:szCs w:val="18"/>
              </w:rPr>
              <w:br/>
              <w:t>SCQF level 11</w:t>
            </w:r>
            <w:r w:rsidRPr="00264F9A">
              <w:rPr>
                <w:rFonts w:ascii="Calibri" w:hAnsi="Calibri" w:cs="Calibri"/>
                <w:color w:val="000000"/>
                <w:sz w:val="18"/>
                <w:szCs w:val="18"/>
              </w:rPr>
              <w:br/>
            </w:r>
            <w:proofErr w:type="spellStart"/>
            <w:r w:rsidRPr="00264F9A">
              <w:rPr>
                <w:rFonts w:ascii="Calibri" w:hAnsi="Calibri" w:cs="Calibri"/>
                <w:color w:val="000000"/>
                <w:sz w:val="18"/>
                <w:szCs w:val="18"/>
              </w:rPr>
              <w:t>NQF</w:t>
            </w:r>
            <w:proofErr w:type="spellEnd"/>
            <w:r w:rsidRPr="00264F9A">
              <w:rPr>
                <w:rFonts w:ascii="Calibri" w:hAnsi="Calibri" w:cs="Calibri"/>
                <w:color w:val="000000"/>
                <w:sz w:val="18"/>
                <w:szCs w:val="18"/>
              </w:rPr>
              <w:t xml:space="preserve"> IE level 9</w:t>
            </w:r>
          </w:p>
        </w:tc>
        <w:tc>
          <w:tcPr>
            <w:tcW w:w="1147" w:type="dxa"/>
            <w:tcBorders>
              <w:top w:val="single" w:sz="4" w:space="0" w:color="auto"/>
              <w:left w:val="nil"/>
              <w:bottom w:val="single" w:sz="4" w:space="0" w:color="auto"/>
              <w:right w:val="single" w:sz="4" w:space="0" w:color="auto"/>
            </w:tcBorders>
            <w:shd w:val="clear" w:color="auto" w:fill="F6D6EE"/>
            <w:vAlign w:val="center"/>
          </w:tcPr>
          <w:p w14:paraId="7D16EB2D" w14:textId="4B8171B5" w:rsidR="004D5321" w:rsidRPr="00264F9A" w:rsidRDefault="004D5321" w:rsidP="00AC64C3">
            <w:pPr>
              <w:rPr>
                <w:sz w:val="18"/>
                <w:szCs w:val="18"/>
              </w:rPr>
            </w:pPr>
            <w:r w:rsidRPr="00264F9A">
              <w:rPr>
                <w:rFonts w:ascii="Calibri" w:hAnsi="Calibri" w:cs="Calibri"/>
                <w:color w:val="000000"/>
                <w:sz w:val="18"/>
                <w:szCs w:val="18"/>
              </w:rPr>
              <w:t>CEng</w:t>
            </w:r>
          </w:p>
        </w:tc>
        <w:tc>
          <w:tcPr>
            <w:tcW w:w="3308" w:type="dxa"/>
            <w:tcBorders>
              <w:top w:val="single" w:sz="4" w:space="0" w:color="auto"/>
              <w:left w:val="nil"/>
              <w:bottom w:val="single" w:sz="4" w:space="0" w:color="auto"/>
              <w:right w:val="single" w:sz="4" w:space="0" w:color="auto"/>
            </w:tcBorders>
            <w:shd w:val="clear" w:color="auto" w:fill="F6D6EE"/>
            <w:vAlign w:val="center"/>
          </w:tcPr>
          <w:p w14:paraId="73491E99" w14:textId="5579A4F5" w:rsidR="004D5321" w:rsidRPr="00264F9A" w:rsidRDefault="004D5321" w:rsidP="00AC64C3">
            <w:pPr>
              <w:rPr>
                <w:sz w:val="18"/>
                <w:szCs w:val="18"/>
              </w:rPr>
            </w:pPr>
            <w:r w:rsidRPr="00264F9A">
              <w:rPr>
                <w:rFonts w:ascii="Calibri" w:hAnsi="Calibri" w:cs="Calibri"/>
                <w:color w:val="000000"/>
                <w:sz w:val="18"/>
                <w:szCs w:val="18"/>
              </w:rPr>
              <w:t>Technical product evaluation</w:t>
            </w:r>
          </w:p>
        </w:tc>
      </w:tr>
    </w:tbl>
    <w:p w14:paraId="19ADCD5D" w14:textId="77777777" w:rsidR="00495832" w:rsidRDefault="00A83413" w:rsidP="00A83413">
      <w:pPr>
        <w:rPr>
          <w:sz w:val="16"/>
          <w:szCs w:val="16"/>
        </w:rPr>
        <w:sectPr w:rsidR="00495832" w:rsidSect="00E91889">
          <w:pgSz w:w="16838" w:h="11906" w:orient="landscape"/>
          <w:pgMar w:top="1440" w:right="1440" w:bottom="1440" w:left="1440" w:header="708" w:footer="708" w:gutter="0"/>
          <w:cols w:space="708"/>
          <w:docGrid w:linePitch="360"/>
        </w:sectPr>
      </w:pPr>
      <w:r w:rsidRPr="00A83413">
        <w:rPr>
          <w:sz w:val="16"/>
          <w:szCs w:val="16"/>
        </w:rPr>
        <w:t>* Note that this does not indicate that everything at this level contributes to UK-SPEC, or a link between its requirements and the specifications made in this framework. This is purely for indicative purposes only.</w:t>
      </w:r>
    </w:p>
    <w:p w14:paraId="18E9913F" w14:textId="7BB80297" w:rsidR="00A83413" w:rsidRDefault="00495832" w:rsidP="00495832">
      <w:pPr>
        <w:pStyle w:val="Heading5"/>
      </w:pPr>
      <w:bookmarkStart w:id="33" w:name="_Ref136529668"/>
      <w:bookmarkStart w:id="34" w:name="_Toc136540388"/>
      <w:r>
        <w:lastRenderedPageBreak/>
        <w:t xml:space="preserve">Appendix 2 </w:t>
      </w:r>
      <w:r w:rsidR="001B38B3">
        <w:t>–</w:t>
      </w:r>
      <w:r>
        <w:t xml:space="preserve"> </w:t>
      </w:r>
      <w:r w:rsidR="001C58EE">
        <w:t>Functional</w:t>
      </w:r>
      <w:r w:rsidR="001B38B3">
        <w:t xml:space="preserve"> </w:t>
      </w:r>
      <w:r w:rsidR="001C58EE">
        <w:t>map and framework of competencies</w:t>
      </w:r>
      <w:bookmarkEnd w:id="33"/>
      <w:bookmarkEnd w:id="34"/>
    </w:p>
    <w:p w14:paraId="48C0D430" w14:textId="77777777" w:rsidR="003A3D6C" w:rsidRDefault="001C58EE" w:rsidP="001C58EE">
      <w:r>
        <w:t xml:space="preserve">Functional map &amp; framework to be embedded </w:t>
      </w:r>
      <w:proofErr w:type="gramStart"/>
      <w:r>
        <w:t>here</w:t>
      </w:r>
      <w:proofErr w:type="gramEnd"/>
    </w:p>
    <w:p w14:paraId="125C2EEF" w14:textId="77777777" w:rsidR="001B38B3" w:rsidRDefault="001B38B3" w:rsidP="001C58EE"/>
    <w:p w14:paraId="75814815" w14:textId="77777777" w:rsidR="001B38B3" w:rsidRDefault="001B38B3" w:rsidP="001C58EE">
      <w:pPr>
        <w:sectPr w:rsidR="001B38B3" w:rsidSect="00495832">
          <w:pgSz w:w="11906" w:h="16838"/>
          <w:pgMar w:top="1440" w:right="1440" w:bottom="1440" w:left="1440" w:header="708" w:footer="708" w:gutter="0"/>
          <w:cols w:space="708"/>
          <w:docGrid w:linePitch="360"/>
        </w:sectPr>
      </w:pPr>
    </w:p>
    <w:p w14:paraId="07842549" w14:textId="62A96629" w:rsidR="001B38B3" w:rsidRDefault="001B38B3" w:rsidP="001B38B3">
      <w:pPr>
        <w:pStyle w:val="Heading5"/>
      </w:pPr>
      <w:bookmarkStart w:id="35" w:name="_Ref136529909"/>
      <w:bookmarkStart w:id="36" w:name="_Ref136529996"/>
      <w:bookmarkStart w:id="37" w:name="_Toc136540389"/>
      <w:r>
        <w:lastRenderedPageBreak/>
        <w:t>Appendix 3 –</w:t>
      </w:r>
      <w:bookmarkEnd w:id="35"/>
      <w:r>
        <w:t xml:space="preserve"> Mapping</w:t>
      </w:r>
      <w:bookmarkEnd w:id="36"/>
      <w:bookmarkEnd w:id="37"/>
      <w:r>
        <w:t xml:space="preserve"> </w:t>
      </w:r>
    </w:p>
    <w:p w14:paraId="03A627FD" w14:textId="77777777" w:rsidR="001B38B3" w:rsidRDefault="001B38B3" w:rsidP="001B38B3"/>
    <w:p w14:paraId="1C2FDC71" w14:textId="42E9FD6B" w:rsidR="003A3D6C" w:rsidRPr="001C58EE" w:rsidRDefault="003A3D6C" w:rsidP="001C58EE">
      <w:pPr>
        <w:sectPr w:rsidR="003A3D6C" w:rsidRPr="001C58EE" w:rsidSect="00495832">
          <w:pgSz w:w="11906" w:h="16838"/>
          <w:pgMar w:top="1440" w:right="1440" w:bottom="1440" w:left="1440" w:header="708" w:footer="708" w:gutter="0"/>
          <w:cols w:space="708"/>
          <w:docGrid w:linePitch="360"/>
        </w:sectPr>
      </w:pPr>
    </w:p>
    <w:p w14:paraId="1E3E5C58" w14:textId="699661D5" w:rsidR="0094318F" w:rsidRDefault="00704C68" w:rsidP="001F6770">
      <w:pPr>
        <w:pStyle w:val="Heading5"/>
        <w:jc w:val="both"/>
        <w:sectPr w:rsidR="0094318F" w:rsidSect="00074148">
          <w:pgSz w:w="11906" w:h="16838"/>
          <w:pgMar w:top="1440" w:right="1440" w:bottom="1440" w:left="1440" w:header="708" w:footer="708" w:gutter="0"/>
          <w:cols w:num="2" w:space="708"/>
          <w:docGrid w:linePitch="360"/>
        </w:sectPr>
      </w:pPr>
      <w:bookmarkStart w:id="38" w:name="_Toc136540390"/>
      <w:r>
        <w:lastRenderedPageBreak/>
        <w:t xml:space="preserve">Appendix </w:t>
      </w:r>
      <w:r w:rsidR="001B38B3">
        <w:t>4</w:t>
      </w:r>
      <w:r>
        <w:t xml:space="preserve"> – </w:t>
      </w:r>
      <w:r w:rsidR="00D31590">
        <w:t>Terms</w:t>
      </w:r>
      <w:r>
        <w:t xml:space="preserve"> </w:t>
      </w:r>
      <w:r w:rsidR="00D31590">
        <w:t>&amp; definitions</w:t>
      </w:r>
      <w:bookmarkEnd w:id="38"/>
      <w:r>
        <w:t xml:space="preserve">    </w:t>
      </w:r>
    </w:p>
    <w:p w14:paraId="66C6C516" w14:textId="77777777" w:rsidR="00A70E0A" w:rsidRDefault="00A70E0A" w:rsidP="001F6770">
      <w:pPr>
        <w:pStyle w:val="Terms"/>
        <w:jc w:val="both"/>
      </w:pPr>
      <w:r>
        <w:t>Behaviour</w:t>
      </w:r>
    </w:p>
    <w:p w14:paraId="7283BBC6" w14:textId="6E72ABD7" w:rsidR="00A70E0A" w:rsidRDefault="00A70E0A" w:rsidP="001F6770">
      <w:pPr>
        <w:jc w:val="both"/>
      </w:pPr>
      <w:r>
        <w:t xml:space="preserve">Observable traits or ways of working that should be displayed. Observable things that an individual does or does not </w:t>
      </w:r>
      <w:proofErr w:type="gramStart"/>
      <w:r>
        <w:t>do</w:t>
      </w:r>
      <w:proofErr w:type="gramEnd"/>
    </w:p>
    <w:p w14:paraId="4E06595B" w14:textId="2C172200" w:rsidR="00A70E0A" w:rsidRDefault="00A70E0A" w:rsidP="001F6770">
      <w:pPr>
        <w:pStyle w:val="Terms"/>
        <w:jc w:val="both"/>
      </w:pPr>
      <w:r>
        <w:t>Competence</w:t>
      </w:r>
      <w:r w:rsidR="00E77C44">
        <w:t xml:space="preserve"> / individual competence</w:t>
      </w:r>
    </w:p>
    <w:p w14:paraId="2FD9CFCB" w14:textId="0E802887" w:rsidR="00A70E0A" w:rsidRDefault="006B2941" w:rsidP="001F6770">
      <w:pPr>
        <w:jc w:val="both"/>
      </w:pPr>
      <w:r>
        <w:t>Application of skill, knowledge, experience</w:t>
      </w:r>
      <w:r w:rsidR="00E77C44">
        <w:t>,</w:t>
      </w:r>
      <w:r>
        <w:t xml:space="preserve"> and behaviour consistently</w:t>
      </w:r>
      <w:r w:rsidR="00E77C44">
        <w:t xml:space="preserve"> by an individual</w:t>
      </w:r>
      <w:r>
        <w:t xml:space="preserve"> to achieve a specific </w:t>
      </w:r>
      <w:proofErr w:type="gramStart"/>
      <w:r>
        <w:t>outcome</w:t>
      </w:r>
      <w:proofErr w:type="gramEnd"/>
    </w:p>
    <w:p w14:paraId="204F6C17" w14:textId="47EE9367" w:rsidR="00332B03" w:rsidRDefault="00B2524F" w:rsidP="001F6770">
      <w:pPr>
        <w:pStyle w:val="Terms"/>
        <w:jc w:val="both"/>
      </w:pPr>
      <w:r>
        <w:t>Standard for competence</w:t>
      </w:r>
    </w:p>
    <w:p w14:paraId="36FEB3D9" w14:textId="5EDA4722" w:rsidR="00332B03" w:rsidRDefault="002C2D02" w:rsidP="001F6770">
      <w:pPr>
        <w:jc w:val="both"/>
      </w:pPr>
      <w:r>
        <w:t>Procedures &amp; r</w:t>
      </w:r>
      <w:r w:rsidR="00A84B47">
        <w:t>equirements</w:t>
      </w:r>
      <w:r w:rsidR="00CD7A4E">
        <w:t xml:space="preserve"> </w:t>
      </w:r>
      <w:r w:rsidR="00332B03">
        <w:t>for developing, measuring, validating</w:t>
      </w:r>
      <w:r w:rsidR="00944CCC">
        <w:t>,</w:t>
      </w:r>
      <w:r w:rsidR="00332B03">
        <w:t xml:space="preserve"> and proving</w:t>
      </w:r>
      <w:r w:rsidR="00CD7A4E">
        <w:t xml:space="preserve"> competence against agreed skills, knowledge, experience</w:t>
      </w:r>
      <w:r w:rsidR="00944CCC">
        <w:t>,</w:t>
      </w:r>
      <w:r w:rsidR="00CD7A4E">
        <w:t xml:space="preserve"> and behaviours required for </w:t>
      </w:r>
      <w:r w:rsidR="00A84B47">
        <w:t>an individual undertaking a role, function, activity</w:t>
      </w:r>
      <w:r w:rsidR="00944CCC">
        <w:t>,</w:t>
      </w:r>
      <w:r w:rsidR="00A84B47">
        <w:t xml:space="preserve"> or task</w:t>
      </w:r>
      <w:r>
        <w:t xml:space="preserve"> in order to perform their work to predetermined standards and expectations and maintain or improve their performance over time</w:t>
      </w:r>
      <w:r w:rsidR="002453DE">
        <w:t>. This is sometimes referred to as a competence framework</w:t>
      </w:r>
      <w:r w:rsidR="00483521">
        <w:t xml:space="preserve"> or competenc</w:t>
      </w:r>
      <w:r w:rsidR="0023289F">
        <w:t xml:space="preserve">e </w:t>
      </w:r>
      <w:proofErr w:type="gramStart"/>
      <w:r w:rsidR="0023289F">
        <w:t>standard</w:t>
      </w:r>
      <w:proofErr w:type="gramEnd"/>
    </w:p>
    <w:p w14:paraId="2CC6532F" w14:textId="77777777" w:rsidR="00FB7296" w:rsidRDefault="00FB7296" w:rsidP="001F6770">
      <w:pPr>
        <w:pStyle w:val="Terms"/>
        <w:jc w:val="both"/>
      </w:pPr>
      <w:r>
        <w:t>Continuing professional development (CPD)</w:t>
      </w:r>
    </w:p>
    <w:p w14:paraId="0272CA7D" w14:textId="30C051BD" w:rsidR="00FB7296" w:rsidRDefault="005302E2" w:rsidP="001F6770">
      <w:pPr>
        <w:jc w:val="both"/>
      </w:pPr>
      <w:r>
        <w:t xml:space="preserve">Activities undertaken by an individual to maintain and develop competence, including formal and informal learning, self-assessment, obtaining feedback and identifying areas for </w:t>
      </w:r>
      <w:proofErr w:type="gramStart"/>
      <w:r>
        <w:t>improvement</w:t>
      </w:r>
      <w:proofErr w:type="gramEnd"/>
    </w:p>
    <w:p w14:paraId="2039264D" w14:textId="77777777" w:rsidR="00B47609" w:rsidRDefault="00B47609" w:rsidP="001F6770">
      <w:pPr>
        <w:pStyle w:val="Terms"/>
        <w:jc w:val="both"/>
      </w:pPr>
      <w:r>
        <w:t>Firestopping</w:t>
      </w:r>
    </w:p>
    <w:p w14:paraId="6E77A182" w14:textId="77777777" w:rsidR="00FB7296" w:rsidRDefault="00FB7296" w:rsidP="001F6770">
      <w:pPr>
        <w:jc w:val="both"/>
      </w:pPr>
      <w:r w:rsidRPr="002C2D02">
        <w:t xml:space="preserve">Firestopping techniques encompass those used for penetration seals for services </w:t>
      </w:r>
      <w:proofErr w:type="gramStart"/>
      <w:r w:rsidRPr="002C2D02">
        <w:t>e.g.</w:t>
      </w:r>
      <w:proofErr w:type="gramEnd"/>
      <w:r w:rsidRPr="002C2D02">
        <w:t xml:space="preserve"> cables and pipes, linear joint seals, cavity barriers (e.g., in voids in roof spaces, above suspended ceilings, within walls and in external walls). Firestopping is also required as part of some other passive fire protection measures, including around fire door frames, around fire resisting /smoke control ducts and dampers.</w:t>
      </w:r>
    </w:p>
    <w:p w14:paraId="50132675" w14:textId="77777777" w:rsidR="00FB7296" w:rsidRDefault="00FB7296" w:rsidP="001F6770">
      <w:pPr>
        <w:pStyle w:val="Terms"/>
        <w:jc w:val="both"/>
      </w:pPr>
      <w:r>
        <w:t>Experience</w:t>
      </w:r>
    </w:p>
    <w:p w14:paraId="09B7372A" w14:textId="77777777" w:rsidR="00FB7296" w:rsidRDefault="00FB7296" w:rsidP="001F6770">
      <w:pPr>
        <w:jc w:val="both"/>
      </w:pPr>
      <w:r>
        <w:t xml:space="preserve">Participation in relevant activities or observation of facts and events leading to acquisition, improvement or demonstration of skills and </w:t>
      </w:r>
      <w:proofErr w:type="gramStart"/>
      <w:r>
        <w:t>knowledge</w:t>
      </w:r>
      <w:proofErr w:type="gramEnd"/>
    </w:p>
    <w:p w14:paraId="54CC05DF" w14:textId="168856B4" w:rsidR="00FB7296" w:rsidRDefault="00FB7296" w:rsidP="001F6770">
      <w:pPr>
        <w:pStyle w:val="Terms"/>
        <w:jc w:val="both"/>
      </w:pPr>
      <w:r>
        <w:t>Formal learning</w:t>
      </w:r>
    </w:p>
    <w:p w14:paraId="320A1E05" w14:textId="77777777" w:rsidR="00FB7296" w:rsidRDefault="00FB7296" w:rsidP="001F6770">
      <w:pPr>
        <w:jc w:val="both"/>
      </w:pPr>
      <w:r>
        <w:t>Organised and structured learning against formal learning objectives</w:t>
      </w:r>
    </w:p>
    <w:p w14:paraId="492E6FC5" w14:textId="77777777" w:rsidR="00FB7296" w:rsidRDefault="00FB7296" w:rsidP="001F6770">
      <w:pPr>
        <w:pStyle w:val="Terms"/>
        <w:jc w:val="both"/>
      </w:pPr>
      <w:r>
        <w:t>Framework of competencies</w:t>
      </w:r>
    </w:p>
    <w:p w14:paraId="1582BD20" w14:textId="614633E3" w:rsidR="00FB7296" w:rsidRDefault="00FB7296" w:rsidP="001F6770">
      <w:pPr>
        <w:jc w:val="both"/>
      </w:pPr>
      <w:r>
        <w:t>Agreed statements of skills, knowledge, experience</w:t>
      </w:r>
      <w:r w:rsidR="00944CCC">
        <w:t>,</w:t>
      </w:r>
      <w:r>
        <w:t xml:space="preserve"> and behaviour against specific activities identified in the functional </w:t>
      </w:r>
      <w:proofErr w:type="gramStart"/>
      <w:r>
        <w:t>map</w:t>
      </w:r>
      <w:proofErr w:type="gramEnd"/>
    </w:p>
    <w:p w14:paraId="539E1EF5" w14:textId="77777777" w:rsidR="00FB7296" w:rsidRDefault="00FB7296" w:rsidP="001F6770">
      <w:pPr>
        <w:pStyle w:val="Terms"/>
        <w:jc w:val="both"/>
      </w:pPr>
      <w:r>
        <w:t>Functional map</w:t>
      </w:r>
    </w:p>
    <w:p w14:paraId="74168EE4" w14:textId="77777777" w:rsidR="00FB7296" w:rsidRDefault="00FB7296" w:rsidP="001F6770">
      <w:pPr>
        <w:jc w:val="both"/>
      </w:pPr>
      <w:r>
        <w:t xml:space="preserve">A map of activities included in the sub-sector, split into pre-determined levels of </w:t>
      </w:r>
      <w:proofErr w:type="gramStart"/>
      <w:r>
        <w:t>complexity</w:t>
      </w:r>
      <w:proofErr w:type="gramEnd"/>
    </w:p>
    <w:p w14:paraId="687293D2" w14:textId="3555C11A" w:rsidR="007F1C03" w:rsidRDefault="007F1C03" w:rsidP="001F6770">
      <w:pPr>
        <w:pStyle w:val="Terms"/>
        <w:jc w:val="both"/>
      </w:pPr>
      <w:r>
        <w:t>Individual</w:t>
      </w:r>
    </w:p>
    <w:p w14:paraId="18EBCA21" w14:textId="79172B02" w:rsidR="007F1C03" w:rsidRPr="007F1C03" w:rsidRDefault="007F1C03" w:rsidP="001F6770">
      <w:pPr>
        <w:jc w:val="both"/>
      </w:pPr>
      <w:r>
        <w:t>A single human being</w:t>
      </w:r>
    </w:p>
    <w:p w14:paraId="63074BE6" w14:textId="77777777" w:rsidR="005302E2" w:rsidRDefault="005302E2" w:rsidP="001F6770">
      <w:pPr>
        <w:pStyle w:val="Terms"/>
        <w:jc w:val="both"/>
      </w:pPr>
      <w:r>
        <w:t>Informal learning</w:t>
      </w:r>
    </w:p>
    <w:p w14:paraId="7B73B023" w14:textId="61ABBC24" w:rsidR="00B47609" w:rsidRDefault="007F1C03" w:rsidP="001F6770">
      <w:pPr>
        <w:jc w:val="both"/>
      </w:pPr>
      <w:r>
        <w:t xml:space="preserve">Self-directed learning, or learning from </w:t>
      </w:r>
      <w:proofErr w:type="gramStart"/>
      <w:r>
        <w:t>experience</w:t>
      </w:r>
      <w:proofErr w:type="gramEnd"/>
    </w:p>
    <w:p w14:paraId="3DB0DD04" w14:textId="77777777" w:rsidR="005302E2" w:rsidRDefault="005302E2" w:rsidP="001F6770">
      <w:pPr>
        <w:pStyle w:val="Terms"/>
        <w:jc w:val="both"/>
      </w:pPr>
      <w:r>
        <w:t>Higher-risk building (HRB)</w:t>
      </w:r>
    </w:p>
    <w:p w14:paraId="0842F368" w14:textId="5E5239FA" w:rsidR="002C2D02" w:rsidRDefault="008779CE" w:rsidP="001F6770">
      <w:pPr>
        <w:jc w:val="both"/>
      </w:pPr>
      <w:r>
        <w:t>Building subject to enhanced regulatory requirements or where risks might be considered elevated</w:t>
      </w:r>
      <w:r w:rsidR="00122EE5">
        <w:t xml:space="preserve"> (for example as a result of the physical characteristics of the building, the way in which the building is used, or as a result of human factors)</w:t>
      </w:r>
    </w:p>
    <w:p w14:paraId="2CAA3D3F" w14:textId="30DAD5BA" w:rsidR="004732BF" w:rsidRDefault="004732BF" w:rsidP="000E3924">
      <w:pPr>
        <w:pStyle w:val="Terms"/>
      </w:pPr>
      <w:r>
        <w:t>Job role</w:t>
      </w:r>
    </w:p>
    <w:p w14:paraId="582E39CF" w14:textId="4541535E" w:rsidR="004732BF" w:rsidRPr="002C2D02" w:rsidRDefault="004732BF" w:rsidP="001F6770">
      <w:pPr>
        <w:jc w:val="both"/>
      </w:pPr>
      <w:r>
        <w:t xml:space="preserve">The </w:t>
      </w:r>
      <w:r w:rsidR="002E1BC5">
        <w:t xml:space="preserve">specific </w:t>
      </w:r>
      <w:r>
        <w:t xml:space="preserve">combination of activities </w:t>
      </w:r>
      <w:r w:rsidR="00611792">
        <w:t>pe</w:t>
      </w:r>
      <w:r w:rsidR="00D40064">
        <w:t>rformed in a specific role, as agreed between an employee and an employer</w:t>
      </w:r>
      <w:r w:rsidR="00214B7E">
        <w:t>. This may change</w:t>
      </w:r>
      <w:r w:rsidR="00CD60E6">
        <w:t xml:space="preserve"> over time, or</w:t>
      </w:r>
      <w:r w:rsidR="00214B7E">
        <w:t xml:space="preserve"> from employer to employer, or between employees of the same </w:t>
      </w:r>
      <w:proofErr w:type="gramStart"/>
      <w:r w:rsidR="00214B7E">
        <w:t>employer</w:t>
      </w:r>
      <w:proofErr w:type="gramEnd"/>
    </w:p>
    <w:p w14:paraId="7591C322" w14:textId="055927FC" w:rsidR="005302E2" w:rsidRDefault="005302E2" w:rsidP="001F6770">
      <w:pPr>
        <w:pStyle w:val="Terms"/>
        <w:jc w:val="both"/>
      </w:pPr>
      <w:r>
        <w:t>Knowledge</w:t>
      </w:r>
    </w:p>
    <w:p w14:paraId="15E3685B" w14:textId="0F5BC391" w:rsidR="00CD2304" w:rsidRDefault="00CD2304" w:rsidP="001F6770">
      <w:pPr>
        <w:jc w:val="both"/>
      </w:pPr>
      <w:r>
        <w:t>Assimilation of facts, theories</w:t>
      </w:r>
      <w:r w:rsidR="00944CCC">
        <w:t>,</w:t>
      </w:r>
      <w:r>
        <w:t xml:space="preserve"> and practices in relation to a given role, function, activity</w:t>
      </w:r>
      <w:r w:rsidR="00944CCC">
        <w:t>,</w:t>
      </w:r>
      <w:r>
        <w:t xml:space="preserve"> or task</w:t>
      </w:r>
    </w:p>
    <w:p w14:paraId="0999FEB4" w14:textId="64AFB11E" w:rsidR="003F12D9" w:rsidRDefault="003F12D9" w:rsidP="00BF6BA5">
      <w:pPr>
        <w:pStyle w:val="Terms"/>
      </w:pPr>
      <w:r>
        <w:t>Occupation</w:t>
      </w:r>
    </w:p>
    <w:p w14:paraId="08F8C689" w14:textId="56781893" w:rsidR="000712F1" w:rsidRDefault="000712F1" w:rsidP="001F6770">
      <w:pPr>
        <w:jc w:val="both"/>
      </w:pPr>
      <w:r>
        <w:t xml:space="preserve">The </w:t>
      </w:r>
      <w:r w:rsidR="0065444C">
        <w:t xml:space="preserve">area of work undertaken by a category of employees, each of which may have a related but different job role. This is standard across the entire </w:t>
      </w:r>
      <w:proofErr w:type="gramStart"/>
      <w:r w:rsidR="0065444C">
        <w:t>industry</w:t>
      </w:r>
      <w:proofErr w:type="gramEnd"/>
    </w:p>
    <w:p w14:paraId="4AE8F4D8" w14:textId="77777777" w:rsidR="00D36FAD" w:rsidRDefault="00D36FAD" w:rsidP="001F6770">
      <w:pPr>
        <w:jc w:val="both"/>
      </w:pPr>
    </w:p>
    <w:p w14:paraId="3A80F923" w14:textId="6880B5A3" w:rsidR="0093493F" w:rsidRDefault="0093493F" w:rsidP="001F6770">
      <w:pPr>
        <w:pStyle w:val="Terms"/>
        <w:jc w:val="both"/>
      </w:pPr>
      <w:r>
        <w:lastRenderedPageBreak/>
        <w:t>Organisational capability</w:t>
      </w:r>
    </w:p>
    <w:p w14:paraId="217D587F" w14:textId="36C1D906" w:rsidR="005C014E" w:rsidRDefault="005C014E" w:rsidP="001F6770">
      <w:pPr>
        <w:jc w:val="both"/>
      </w:pPr>
      <w:r>
        <w:t xml:space="preserve">The combination of people, practices and other resources brought together by a business to </w:t>
      </w:r>
      <w:r w:rsidR="006F287F">
        <w:t xml:space="preserve">allow it to function effectively and deliver value to customers and </w:t>
      </w:r>
      <w:proofErr w:type="gramStart"/>
      <w:r w:rsidR="006F287F">
        <w:t>stakeholders</w:t>
      </w:r>
      <w:proofErr w:type="gramEnd"/>
    </w:p>
    <w:p w14:paraId="6C3351AF" w14:textId="6A3E048E" w:rsidR="005A7F69" w:rsidRDefault="005A7F69" w:rsidP="00A83D29">
      <w:pPr>
        <w:pStyle w:val="Terms"/>
      </w:pPr>
      <w:r>
        <w:t>Qualification</w:t>
      </w:r>
    </w:p>
    <w:p w14:paraId="380E1CC3" w14:textId="3D9C667B" w:rsidR="005A7F69" w:rsidRPr="005C014E" w:rsidRDefault="000705CE" w:rsidP="001F6770">
      <w:pPr>
        <w:jc w:val="both"/>
      </w:pPr>
      <w:r>
        <w:t>A regulated programme of assessment</w:t>
      </w:r>
      <w:r w:rsidR="00B768AC">
        <w:t xml:space="preserve">, sometimes with aligned training, which results in the issue of a </w:t>
      </w:r>
      <w:r w:rsidR="00EB3EBA">
        <w:t xml:space="preserve">nationally recognised award </w:t>
      </w:r>
      <w:r w:rsidR="00A83D29">
        <w:t xml:space="preserve">being made </w:t>
      </w:r>
      <w:r w:rsidR="00EB3EBA">
        <w:t xml:space="preserve">upon </w:t>
      </w:r>
      <w:proofErr w:type="gramStart"/>
      <w:r w:rsidR="00EB3EBA">
        <w:t>completion</w:t>
      </w:r>
      <w:proofErr w:type="gramEnd"/>
    </w:p>
    <w:p w14:paraId="738E4B7D" w14:textId="3F2C2B48" w:rsidR="005302E2" w:rsidRDefault="005302E2" w:rsidP="001F6770">
      <w:pPr>
        <w:pStyle w:val="Terms"/>
        <w:jc w:val="both"/>
      </w:pPr>
      <w:r>
        <w:t>Revalidation</w:t>
      </w:r>
    </w:p>
    <w:p w14:paraId="7EF58629" w14:textId="7A0DEFA5" w:rsidR="001B455A" w:rsidRPr="001B455A" w:rsidRDefault="001B455A" w:rsidP="001F6770">
      <w:pPr>
        <w:jc w:val="both"/>
      </w:pPr>
      <w:r>
        <w:t>The formal process or reassessing an individual’s competence</w:t>
      </w:r>
      <w:r w:rsidR="00D07F34">
        <w:t xml:space="preserve"> against a sector-</w:t>
      </w:r>
      <w:r w:rsidR="00D07F34">
        <w:t>specific framework</w:t>
      </w:r>
      <w:r>
        <w:t xml:space="preserve"> on a periodic basis to check that competence has been </w:t>
      </w:r>
      <w:proofErr w:type="gramStart"/>
      <w:r>
        <w:t>maintained</w:t>
      </w:r>
      <w:proofErr w:type="gramEnd"/>
    </w:p>
    <w:p w14:paraId="0E3A83B0" w14:textId="77777777" w:rsidR="005302E2" w:rsidRDefault="005302E2" w:rsidP="001F6770">
      <w:pPr>
        <w:pStyle w:val="Terms"/>
        <w:jc w:val="both"/>
      </w:pPr>
      <w:r>
        <w:t>Sector-specific competence framework</w:t>
      </w:r>
    </w:p>
    <w:p w14:paraId="583320B9" w14:textId="6CF73D47" w:rsidR="00C6581B" w:rsidRPr="00C6581B" w:rsidRDefault="00C6581B" w:rsidP="001F6770">
      <w:pPr>
        <w:jc w:val="both"/>
      </w:pPr>
      <w:r>
        <w:t>A competence framework relevant to a specific role, function, activity, task, trade</w:t>
      </w:r>
      <w:r w:rsidR="00282A52">
        <w:t>,</w:t>
      </w:r>
      <w:r>
        <w:t xml:space="preserve"> or discipline</w:t>
      </w:r>
    </w:p>
    <w:p w14:paraId="289A049B" w14:textId="0D8807BB" w:rsidR="00024642" w:rsidRDefault="00024642" w:rsidP="001F6770">
      <w:pPr>
        <w:pStyle w:val="Terms"/>
        <w:jc w:val="both"/>
      </w:pPr>
      <w:r>
        <w:t>Skill</w:t>
      </w:r>
    </w:p>
    <w:p w14:paraId="60C86E09" w14:textId="77BCF96D" w:rsidR="00D07F34" w:rsidRDefault="00282A52" w:rsidP="008D708E">
      <w:pPr>
        <w:jc w:val="both"/>
      </w:pPr>
      <w:r>
        <w:t xml:space="preserve">The ability to perform an activity or task consistently with a specific intended </w:t>
      </w:r>
      <w:proofErr w:type="gramStart"/>
      <w:r>
        <w:t>outcome</w:t>
      </w:r>
      <w:proofErr w:type="gramEnd"/>
    </w:p>
    <w:p w14:paraId="59449353" w14:textId="49B5490F" w:rsidR="0094318F" w:rsidRDefault="00AD155E" w:rsidP="001F6770">
      <w:pPr>
        <w:pStyle w:val="Terms"/>
        <w:jc w:val="both"/>
      </w:pPr>
      <w:r>
        <w:t>Validation</w:t>
      </w:r>
    </w:p>
    <w:p w14:paraId="59696938" w14:textId="4DE716D9" w:rsidR="00282A52" w:rsidRDefault="00282A52" w:rsidP="001F6770">
      <w:pPr>
        <w:jc w:val="both"/>
        <w:sectPr w:rsidR="00282A52" w:rsidSect="00D07F34">
          <w:type w:val="continuous"/>
          <w:pgSz w:w="11906" w:h="16838"/>
          <w:pgMar w:top="1440" w:right="1440" w:bottom="1440" w:left="1440" w:header="708" w:footer="708" w:gutter="0"/>
          <w:cols w:num="2" w:space="708"/>
          <w:docGrid w:linePitch="360"/>
        </w:sectPr>
      </w:pPr>
      <w:r>
        <w:t>The formal process of assessing an individual’s competence against a sector-specific framework</w:t>
      </w:r>
    </w:p>
    <w:p w14:paraId="1F11EE13" w14:textId="087B04E1" w:rsidR="007A22EB" w:rsidRPr="00221EF1" w:rsidRDefault="007A22EB" w:rsidP="008938C0">
      <w:pPr>
        <w:pStyle w:val="Terms"/>
        <w:jc w:val="both"/>
      </w:pPr>
    </w:p>
    <w:sectPr w:rsidR="007A22EB" w:rsidRPr="00221EF1" w:rsidSect="008D708E">
      <w:type w:val="continuous"/>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C8605" w14:textId="77777777" w:rsidR="00F22BC1" w:rsidRDefault="00F22BC1" w:rsidP="005B581D">
      <w:pPr>
        <w:spacing w:after="0" w:line="240" w:lineRule="auto"/>
      </w:pPr>
      <w:r>
        <w:separator/>
      </w:r>
    </w:p>
  </w:endnote>
  <w:endnote w:type="continuationSeparator" w:id="0">
    <w:p w14:paraId="4AFD3C9A" w14:textId="77777777" w:rsidR="00F22BC1" w:rsidRDefault="00F22BC1" w:rsidP="005B581D">
      <w:pPr>
        <w:spacing w:after="0" w:line="240" w:lineRule="auto"/>
      </w:pPr>
      <w:r>
        <w:continuationSeparator/>
      </w:r>
    </w:p>
  </w:endnote>
  <w:endnote w:type="continuationNotice" w:id="1">
    <w:p w14:paraId="65A30FE8" w14:textId="77777777" w:rsidR="00F22BC1" w:rsidRDefault="00F22B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Frutiger 55 Roman">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13836" w14:textId="3D3C1181" w:rsidR="008D32A7" w:rsidRDefault="008D32A7">
    <w:pPr>
      <w:pStyle w:val="Footer"/>
    </w:pPr>
    <w:r>
      <w:rPr>
        <w:noProof/>
      </w:rPr>
      <mc:AlternateContent>
        <mc:Choice Requires="wps">
          <w:drawing>
            <wp:anchor distT="0" distB="0" distL="0" distR="0" simplePos="0" relativeHeight="251660290" behindDoc="0" locked="0" layoutInCell="1" allowOverlap="1" wp14:anchorId="44786644" wp14:editId="6734C987">
              <wp:simplePos x="635" y="635"/>
              <wp:positionH relativeFrom="page">
                <wp:align>left</wp:align>
              </wp:positionH>
              <wp:positionV relativeFrom="page">
                <wp:align>bottom</wp:align>
              </wp:positionV>
              <wp:extent cx="443865" cy="443865"/>
              <wp:effectExtent l="0" t="0" r="5715" b="0"/>
              <wp:wrapNone/>
              <wp:docPr id="2" name="Text Box 2"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8FD2B6" w14:textId="4A9337AE"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786644" id="_x0000_t202" coordsize="21600,21600" o:spt="202" path="m,l,21600r21600,l21600,xe">
              <v:stroke joinstyle="miter"/>
              <v:path gradientshapeok="t" o:connecttype="rect"/>
            </v:shapetype>
            <v:shape id="Text Box 2" o:spid="_x0000_s1026" type="#_x0000_t202" alt="Classification - Public" style="position:absolute;margin-left:0;margin-top:0;width:34.95pt;height:34.95pt;z-index:25166029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A8FD2B6" w14:textId="4A9337AE"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07362" w14:textId="5BD5CD29" w:rsidR="005B581D" w:rsidRPr="004028D6" w:rsidRDefault="008D32A7" w:rsidP="00AD260A">
    <w:pPr>
      <w:pStyle w:val="Footer"/>
      <w:jc w:val="right"/>
      <w:rPr>
        <w:sz w:val="16"/>
        <w:szCs w:val="16"/>
      </w:rPr>
    </w:pPr>
    <w:r>
      <w:rPr>
        <w:noProof/>
        <w:sz w:val="16"/>
        <w:szCs w:val="16"/>
      </w:rPr>
      <mc:AlternateContent>
        <mc:Choice Requires="wps">
          <w:drawing>
            <wp:anchor distT="0" distB="0" distL="0" distR="0" simplePos="0" relativeHeight="251661314" behindDoc="0" locked="0" layoutInCell="1" allowOverlap="1" wp14:anchorId="342C964E" wp14:editId="6E009565">
              <wp:simplePos x="914400" y="10072468"/>
              <wp:positionH relativeFrom="page">
                <wp:align>left</wp:align>
              </wp:positionH>
              <wp:positionV relativeFrom="page">
                <wp:align>bottom</wp:align>
              </wp:positionV>
              <wp:extent cx="443865" cy="443865"/>
              <wp:effectExtent l="0" t="0" r="5715" b="0"/>
              <wp:wrapNone/>
              <wp:docPr id="3" name="Text Box 3"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2A4500" w14:textId="22A5F1BC"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42C964E" id="_x0000_t202" coordsize="21600,21600" o:spt="202" path="m,l,21600r21600,l21600,xe">
              <v:stroke joinstyle="miter"/>
              <v:path gradientshapeok="t" o:connecttype="rect"/>
            </v:shapetype>
            <v:shape id="Text Box 3" o:spid="_x0000_s1027" type="#_x0000_t202" alt="Classification - Public" style="position:absolute;left:0;text-align:left;margin-left:0;margin-top:0;width:34.95pt;height:34.95pt;z-index:25166131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A2A4500" w14:textId="22A5F1BC"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v:textbox>
              <w10:wrap anchorx="page" anchory="page"/>
            </v:shape>
          </w:pict>
        </mc:Fallback>
      </mc:AlternateContent>
    </w:r>
    <w:sdt>
      <w:sdtPr>
        <w:rPr>
          <w:sz w:val="16"/>
          <w:szCs w:val="16"/>
        </w:rPr>
        <w:alias w:val="Title"/>
        <w:tag w:val=""/>
        <w:id w:val="201907464"/>
        <w:placeholder>
          <w:docPart w:val="1ED4C917496747A3969A3488F126F1A0"/>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5D21EE">
          <w:rPr>
            <w:rStyle w:val="PlaceholderText"/>
          </w:rPr>
          <w:t>[Title]</w:t>
        </w:r>
      </w:sdtContent>
    </w:sdt>
    <w:r w:rsidR="005B581D" w:rsidRPr="004028D6">
      <w:rPr>
        <w:sz w:val="16"/>
        <w:szCs w:val="16"/>
      </w:rPr>
      <w:ptab w:relativeTo="margin" w:alignment="right" w:leader="none"/>
    </w:r>
    <w:r w:rsidR="00C60227">
      <w:rPr>
        <w:sz w:val="16"/>
        <w:szCs w:val="16"/>
      </w:rPr>
      <w:fldChar w:fldCharType="begin"/>
    </w:r>
    <w:r w:rsidR="00C60227">
      <w:rPr>
        <w:sz w:val="16"/>
        <w:szCs w:val="16"/>
      </w:rPr>
      <w:instrText xml:space="preserve"> PAGE   \* MERGEFORMAT </w:instrText>
    </w:r>
    <w:r w:rsidR="00C60227">
      <w:rPr>
        <w:sz w:val="16"/>
        <w:szCs w:val="16"/>
      </w:rPr>
      <w:fldChar w:fldCharType="separate"/>
    </w:r>
    <w:r w:rsidR="00C60227">
      <w:rPr>
        <w:noProof/>
        <w:sz w:val="16"/>
        <w:szCs w:val="16"/>
      </w:rPr>
      <w:t>1</w:t>
    </w:r>
    <w:r w:rsidR="00C60227">
      <w:rPr>
        <w:sz w:val="16"/>
        <w:szCs w:val="16"/>
      </w:rPr>
      <w:fldChar w:fldCharType="end"/>
    </w:r>
    <w:r w:rsidR="00C60227">
      <w:rPr>
        <w:sz w:val="16"/>
        <w:szCs w:val="16"/>
      </w:rPr>
      <w:t xml:space="preserve"> of </w:t>
    </w:r>
    <w:r w:rsidR="00C60227">
      <w:rPr>
        <w:sz w:val="16"/>
        <w:szCs w:val="16"/>
      </w:rPr>
      <w:fldChar w:fldCharType="begin"/>
    </w:r>
    <w:r w:rsidR="00C60227">
      <w:rPr>
        <w:sz w:val="16"/>
        <w:szCs w:val="16"/>
      </w:rPr>
      <w:instrText xml:space="preserve"> NUMPAGES   \* MERGEFORMAT </w:instrText>
    </w:r>
    <w:r w:rsidR="00C60227">
      <w:rPr>
        <w:sz w:val="16"/>
        <w:szCs w:val="16"/>
      </w:rPr>
      <w:fldChar w:fldCharType="separate"/>
    </w:r>
    <w:r w:rsidR="00C60227">
      <w:rPr>
        <w:noProof/>
        <w:sz w:val="16"/>
        <w:szCs w:val="16"/>
      </w:rPr>
      <w:t>2</w:t>
    </w:r>
    <w:r w:rsidR="00C60227">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47DA5" w14:textId="119EBB75" w:rsidR="008D32A7" w:rsidRDefault="008D32A7">
    <w:pPr>
      <w:pStyle w:val="Footer"/>
    </w:pPr>
    <w:r>
      <w:rPr>
        <w:noProof/>
      </w:rPr>
      <mc:AlternateContent>
        <mc:Choice Requires="wps">
          <w:drawing>
            <wp:anchor distT="0" distB="0" distL="0" distR="0" simplePos="0" relativeHeight="251659266" behindDoc="0" locked="0" layoutInCell="1" allowOverlap="1" wp14:anchorId="118A206B" wp14:editId="20A7ACCF">
              <wp:simplePos x="635" y="635"/>
              <wp:positionH relativeFrom="page">
                <wp:align>left</wp:align>
              </wp:positionH>
              <wp:positionV relativeFrom="page">
                <wp:align>bottom</wp:align>
              </wp:positionV>
              <wp:extent cx="443865" cy="443865"/>
              <wp:effectExtent l="0" t="0" r="5715" b="0"/>
              <wp:wrapNone/>
              <wp:docPr id="1" name="Text Box 1"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4CFDE9" w14:textId="47B5C396"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18A206B" id="_x0000_t202" coordsize="21600,21600" o:spt="202" path="m,l,21600r21600,l21600,xe">
              <v:stroke joinstyle="miter"/>
              <v:path gradientshapeok="t" o:connecttype="rect"/>
            </v:shapetype>
            <v:shape id="Text Box 1" o:spid="_x0000_s1028" type="#_x0000_t202" alt="Classification - Public" style="position:absolute;margin-left:0;margin-top:0;width:34.95pt;height:34.95pt;z-index:25165926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7F4CFDE9" w14:textId="47B5C396" w:rsidR="008D32A7" w:rsidRPr="008D32A7" w:rsidRDefault="008D32A7" w:rsidP="008D32A7">
                    <w:pPr>
                      <w:spacing w:after="0"/>
                      <w:rPr>
                        <w:rFonts w:ascii="Arial" w:eastAsia="Arial" w:hAnsi="Arial" w:cs="Arial"/>
                        <w:noProof/>
                        <w:color w:val="000000"/>
                        <w:sz w:val="20"/>
                        <w:szCs w:val="20"/>
                      </w:rPr>
                    </w:pPr>
                    <w:r w:rsidRPr="008D32A7">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E27AB" w14:textId="77777777" w:rsidR="00F22BC1" w:rsidRDefault="00F22BC1" w:rsidP="005B581D">
      <w:pPr>
        <w:spacing w:after="0" w:line="240" w:lineRule="auto"/>
      </w:pPr>
      <w:r>
        <w:separator/>
      </w:r>
    </w:p>
  </w:footnote>
  <w:footnote w:type="continuationSeparator" w:id="0">
    <w:p w14:paraId="3F96529D" w14:textId="77777777" w:rsidR="00F22BC1" w:rsidRDefault="00F22BC1" w:rsidP="005B581D">
      <w:pPr>
        <w:spacing w:after="0" w:line="240" w:lineRule="auto"/>
      </w:pPr>
      <w:r>
        <w:continuationSeparator/>
      </w:r>
    </w:p>
  </w:footnote>
  <w:footnote w:type="continuationNotice" w:id="1">
    <w:p w14:paraId="75326E27" w14:textId="77777777" w:rsidR="00F22BC1" w:rsidRDefault="00F22BC1">
      <w:pPr>
        <w:spacing w:after="0" w:line="240" w:lineRule="auto"/>
      </w:pPr>
    </w:p>
  </w:footnote>
  <w:footnote w:id="2">
    <w:p w14:paraId="1206AB76" w14:textId="36CFC9D8" w:rsidR="004801D7" w:rsidRPr="008A271C" w:rsidRDefault="004801D7">
      <w:pPr>
        <w:pStyle w:val="FootnoteText"/>
        <w:rPr>
          <w:sz w:val="16"/>
          <w:szCs w:val="16"/>
        </w:rPr>
      </w:pPr>
      <w:r w:rsidRPr="008A271C">
        <w:rPr>
          <w:rStyle w:val="FootnoteReference"/>
          <w:sz w:val="16"/>
          <w:szCs w:val="16"/>
        </w:rPr>
        <w:footnoteRef/>
      </w:r>
      <w:r w:rsidRPr="008A271C">
        <w:rPr>
          <w:sz w:val="16"/>
          <w:szCs w:val="16"/>
        </w:rPr>
        <w:t xml:space="preserve"> </w:t>
      </w:r>
      <w:r w:rsidR="002D58C0" w:rsidRPr="008A271C">
        <w:rPr>
          <w:sz w:val="16"/>
          <w:szCs w:val="16"/>
        </w:rPr>
        <w:t xml:space="preserve">Building a Safer Future. Independent Review of Building Regulations and Fire Safety: Final report. </w:t>
      </w:r>
      <w:r w:rsidR="006811E1" w:rsidRPr="008A271C">
        <w:rPr>
          <w:sz w:val="16"/>
          <w:szCs w:val="16"/>
        </w:rPr>
        <w:t xml:space="preserve">Dame Judith Hackitt DBE </w:t>
      </w:r>
      <w:proofErr w:type="spellStart"/>
      <w:r w:rsidR="006811E1" w:rsidRPr="008A271C">
        <w:rPr>
          <w:sz w:val="16"/>
          <w:szCs w:val="16"/>
        </w:rPr>
        <w:t>FREng</w:t>
      </w:r>
      <w:proofErr w:type="spellEnd"/>
      <w:r w:rsidR="006811E1" w:rsidRPr="008A271C">
        <w:rPr>
          <w:sz w:val="16"/>
          <w:szCs w:val="16"/>
        </w:rPr>
        <w:t xml:space="preserve">. Published May 2018. Available from: </w:t>
      </w:r>
      <w:hyperlink r:id="rId1" w:history="1">
        <w:r w:rsidR="008F1529" w:rsidRPr="008A271C">
          <w:rPr>
            <w:rStyle w:val="Hyperlink"/>
            <w:sz w:val="16"/>
            <w:szCs w:val="16"/>
          </w:rPr>
          <w:t>https://assets.publishing.service.gov.uk/government/uploads/system/uploads/attachment_data/file/707785/Building_a_Safer_Future_-_web.pdf</w:t>
        </w:r>
      </w:hyperlink>
      <w:r w:rsidR="008F1529" w:rsidRPr="008A271C">
        <w:rPr>
          <w:sz w:val="16"/>
          <w:szCs w:val="16"/>
        </w:rPr>
        <w:t xml:space="preserve"> </w:t>
      </w:r>
    </w:p>
  </w:footnote>
  <w:footnote w:id="3">
    <w:p w14:paraId="320AA693" w14:textId="7484E274" w:rsidR="001E0F54" w:rsidRDefault="001E0F54">
      <w:pPr>
        <w:pStyle w:val="FootnoteText"/>
      </w:pPr>
      <w:r w:rsidRPr="001D57AB">
        <w:rPr>
          <w:rStyle w:val="FootnoteReference"/>
          <w:sz w:val="16"/>
          <w:szCs w:val="16"/>
        </w:rPr>
        <w:footnoteRef/>
      </w:r>
      <w:r w:rsidRPr="001D57AB">
        <w:rPr>
          <w:sz w:val="16"/>
          <w:szCs w:val="16"/>
        </w:rPr>
        <w:t xml:space="preserve"> Built environment – Core criteria for building safety in competence frameworks – Code of practice</w:t>
      </w:r>
      <w:r w:rsidR="002C623C" w:rsidRPr="001D57AB">
        <w:rPr>
          <w:sz w:val="16"/>
          <w:szCs w:val="16"/>
        </w:rPr>
        <w:t xml:space="preserve">. BSI. Published April 2021. Available from: </w:t>
      </w:r>
      <w:hyperlink r:id="rId2" w:history="1">
        <w:r w:rsidR="001D57AB" w:rsidRPr="001D57AB">
          <w:rPr>
            <w:rStyle w:val="Hyperlink"/>
            <w:sz w:val="16"/>
            <w:szCs w:val="16"/>
          </w:rPr>
          <w:t>https://knowledge.bsigroup.com/products/built-environment-core-criteria-for-building-safety-in-competence-frameworks-code-of-practice/standard</w:t>
        </w:r>
      </w:hyperlink>
      <w:r w:rsidR="001D57AB" w:rsidRPr="001D57AB">
        <w:rPr>
          <w:sz w:val="16"/>
          <w:szCs w:val="16"/>
        </w:rPr>
        <w:t xml:space="preserve"> </w:t>
      </w:r>
    </w:p>
  </w:footnote>
  <w:footnote w:id="4">
    <w:p w14:paraId="7A0E80AC" w14:textId="42045532" w:rsidR="008A271C" w:rsidRPr="008A271C" w:rsidRDefault="000842F6">
      <w:pPr>
        <w:pStyle w:val="FootnoteText"/>
        <w:rPr>
          <w:sz w:val="16"/>
          <w:szCs w:val="16"/>
        </w:rPr>
      </w:pPr>
      <w:r w:rsidRPr="008A271C">
        <w:rPr>
          <w:rStyle w:val="FootnoteReference"/>
          <w:sz w:val="16"/>
          <w:szCs w:val="16"/>
        </w:rPr>
        <w:footnoteRef/>
      </w:r>
      <w:r w:rsidRPr="008A271C">
        <w:rPr>
          <w:sz w:val="16"/>
          <w:szCs w:val="16"/>
        </w:rPr>
        <w:t xml:space="preserve"> Competence Framework – Installer Pilots Report (Phase One). </w:t>
      </w:r>
      <w:r w:rsidR="008A271C" w:rsidRPr="008A271C">
        <w:rPr>
          <w:sz w:val="16"/>
          <w:szCs w:val="16"/>
        </w:rPr>
        <w:t xml:space="preserve">Competence Steering Group. Published May 2022. Available from: </w:t>
      </w:r>
      <w:hyperlink r:id="rId3" w:history="1">
        <w:r w:rsidR="008A271C" w:rsidRPr="008A271C">
          <w:rPr>
            <w:rStyle w:val="Hyperlink"/>
            <w:sz w:val="16"/>
            <w:szCs w:val="16"/>
          </w:rPr>
          <w:t>https://www.constructionleadershipcouncil.co.uk/wp-content/uploads/2022/05/WG2-Phase-1-Report-17-May-2022.pdf</w:t>
        </w:r>
      </w:hyperlink>
      <w:r w:rsidR="008A271C" w:rsidRPr="008A271C">
        <w:rPr>
          <w:sz w:val="16"/>
          <w:szCs w:val="16"/>
        </w:rPr>
        <w:t xml:space="preserve"> </w:t>
      </w:r>
    </w:p>
  </w:footnote>
  <w:footnote w:id="5">
    <w:p w14:paraId="5A0387C1" w14:textId="01314CCB" w:rsidR="005F369C" w:rsidRPr="004A11C0" w:rsidRDefault="005F369C" w:rsidP="005F369C">
      <w:pPr>
        <w:pStyle w:val="FootnoteText"/>
        <w:rPr>
          <w:sz w:val="16"/>
          <w:szCs w:val="16"/>
        </w:rPr>
      </w:pPr>
      <w:r w:rsidRPr="004A11C0">
        <w:rPr>
          <w:rStyle w:val="FootnoteReference"/>
          <w:sz w:val="16"/>
          <w:szCs w:val="16"/>
        </w:rPr>
        <w:footnoteRef/>
      </w:r>
      <w:r w:rsidRPr="004A11C0">
        <w:rPr>
          <w:sz w:val="16"/>
          <w:szCs w:val="16"/>
        </w:rPr>
        <w:t xml:space="preserve"> Competence Framework – Installer Pilots Report (Phase One). Annex G – WG2 Key Principles for the Development of Sector Specific Frameworks for Installers</w:t>
      </w:r>
      <w:r>
        <w:rPr>
          <w:sz w:val="16"/>
          <w:szCs w:val="16"/>
        </w:rPr>
        <w:t xml:space="preserve">. </w:t>
      </w:r>
      <w:r w:rsidR="00760E61">
        <w:rPr>
          <w:sz w:val="16"/>
          <w:szCs w:val="16"/>
        </w:rPr>
        <w:t xml:space="preserve">Competence Steering Group. Published May 2022. </w:t>
      </w:r>
      <w:r>
        <w:rPr>
          <w:sz w:val="16"/>
          <w:szCs w:val="16"/>
        </w:rPr>
        <w:t xml:space="preserve">Available from: </w:t>
      </w:r>
      <w:hyperlink r:id="rId4" w:history="1">
        <w:r w:rsidRPr="00432C8A">
          <w:rPr>
            <w:rStyle w:val="Hyperlink"/>
            <w:sz w:val="16"/>
            <w:szCs w:val="16"/>
          </w:rPr>
          <w:t>https://builduk.org/wp-content/uploads/2022/05/WG2-Phase-1-Report-17-May-2022.pdf</w:t>
        </w:r>
      </w:hyperlink>
      <w:r>
        <w:rPr>
          <w:sz w:val="16"/>
          <w:szCs w:val="16"/>
        </w:rPr>
        <w:t xml:space="preserve"> </w:t>
      </w:r>
    </w:p>
  </w:footnote>
  <w:footnote w:id="6">
    <w:p w14:paraId="0C7502A5" w14:textId="1D8FBBFF" w:rsidR="006837D0" w:rsidRPr="000A5CC7" w:rsidRDefault="006837D0">
      <w:pPr>
        <w:pStyle w:val="FootnoteText"/>
        <w:rPr>
          <w:sz w:val="18"/>
          <w:szCs w:val="18"/>
        </w:rPr>
      </w:pPr>
      <w:r w:rsidRPr="000A5CC7">
        <w:rPr>
          <w:rStyle w:val="FootnoteReference"/>
          <w:sz w:val="16"/>
          <w:szCs w:val="16"/>
        </w:rPr>
        <w:footnoteRef/>
      </w:r>
      <w:r w:rsidRPr="000A5CC7">
        <w:rPr>
          <w:sz w:val="16"/>
          <w:szCs w:val="16"/>
        </w:rPr>
        <w:t xml:space="preserve"> </w:t>
      </w:r>
      <w:r w:rsidR="00DE7A6B" w:rsidRPr="000A5CC7">
        <w:rPr>
          <w:sz w:val="16"/>
          <w:szCs w:val="16"/>
        </w:rPr>
        <w:t>Industry Card Schemes</w:t>
      </w:r>
      <w:r w:rsidR="00A511F7" w:rsidRPr="000A5CC7">
        <w:rPr>
          <w:sz w:val="16"/>
          <w:szCs w:val="16"/>
        </w:rPr>
        <w:t>. Construction Leadership Council</w:t>
      </w:r>
      <w:r w:rsidR="00127D75" w:rsidRPr="000A5CC7">
        <w:rPr>
          <w:sz w:val="16"/>
          <w:szCs w:val="16"/>
        </w:rPr>
        <w:t>. December 2020. Available from:</w:t>
      </w:r>
      <w:r w:rsidR="00AB5D28" w:rsidRPr="000A5CC7">
        <w:rPr>
          <w:sz w:val="16"/>
          <w:szCs w:val="16"/>
        </w:rPr>
        <w:t xml:space="preserve"> </w:t>
      </w:r>
      <w:hyperlink r:id="rId5" w:history="1">
        <w:r w:rsidR="000A5CC7" w:rsidRPr="000A5CC7">
          <w:rPr>
            <w:rStyle w:val="Hyperlink"/>
            <w:sz w:val="16"/>
            <w:szCs w:val="16"/>
          </w:rPr>
          <w:t>https://www.cscs.uk.com/wp-content/uploads/2020/12/CLC-decision-on-card-scheme-logo-01.12.20.pdf</w:t>
        </w:r>
      </w:hyperlink>
      <w:r w:rsidR="000A5CC7">
        <w:rPr>
          <w:sz w:val="16"/>
          <w:szCs w:val="16"/>
        </w:rPr>
        <w:t xml:space="preserve"> </w:t>
      </w:r>
    </w:p>
  </w:footnote>
  <w:footnote w:id="7">
    <w:p w14:paraId="6EC436B5" w14:textId="3CF52365" w:rsidR="00342D59" w:rsidRDefault="00342D59">
      <w:pPr>
        <w:pStyle w:val="FootnoteText"/>
      </w:pPr>
      <w:r>
        <w:rPr>
          <w:rStyle w:val="FootnoteReference"/>
        </w:rPr>
        <w:footnoteRef/>
      </w:r>
      <w:r>
        <w:t xml:space="preserve"> </w:t>
      </w:r>
      <w:r w:rsidR="00CF006A" w:rsidRPr="0021394E">
        <w:rPr>
          <w:sz w:val="16"/>
          <w:szCs w:val="16"/>
        </w:rPr>
        <w:t xml:space="preserve">Industrial Strategy: </w:t>
      </w:r>
      <w:r w:rsidR="00962D5D" w:rsidRPr="0021394E">
        <w:rPr>
          <w:sz w:val="16"/>
          <w:szCs w:val="16"/>
        </w:rPr>
        <w:t>government and industry in partnership – Construction 2025.</w:t>
      </w:r>
      <w:r w:rsidR="00C64FCD" w:rsidRPr="0021394E">
        <w:rPr>
          <w:sz w:val="16"/>
          <w:szCs w:val="16"/>
        </w:rPr>
        <w:t xml:space="preserve"> HM Government</w:t>
      </w:r>
      <w:r w:rsidR="0021394E" w:rsidRPr="0021394E">
        <w:rPr>
          <w:sz w:val="16"/>
          <w:szCs w:val="16"/>
        </w:rPr>
        <w:t>. July 2013.</w:t>
      </w:r>
      <w:r w:rsidR="00962D5D" w:rsidRPr="0021394E">
        <w:rPr>
          <w:sz w:val="16"/>
          <w:szCs w:val="16"/>
        </w:rPr>
        <w:t xml:space="preserve"> </w:t>
      </w:r>
      <w:r w:rsidRPr="0021394E">
        <w:rPr>
          <w:sz w:val="16"/>
          <w:szCs w:val="16"/>
        </w:rPr>
        <w:t xml:space="preserve">Available from: </w:t>
      </w:r>
      <w:hyperlink r:id="rId6" w:history="1">
        <w:r w:rsidRPr="0021394E">
          <w:rPr>
            <w:rStyle w:val="Hyperlink"/>
            <w:sz w:val="16"/>
            <w:szCs w:val="16"/>
          </w:rPr>
          <w:t>https://assets.publishing.service.gov.uk/government/uploads/system/uploads/attachment_data/file/210099/bis-13-955-construction-2025-industrial-strategy.pdf</w:t>
        </w:r>
      </w:hyperlink>
      <w:r w:rsidRPr="0021394E">
        <w:rPr>
          <w:sz w:val="16"/>
          <w:szCs w:val="16"/>
        </w:rPr>
        <w:t xml:space="preserve"> </w:t>
      </w:r>
    </w:p>
  </w:footnote>
  <w:footnote w:id="8">
    <w:p w14:paraId="4D6BE280" w14:textId="1D3D6FD6" w:rsidR="00A6037D" w:rsidRPr="002D1B9F" w:rsidRDefault="00A6037D">
      <w:pPr>
        <w:pStyle w:val="FootnoteText"/>
        <w:rPr>
          <w:sz w:val="16"/>
          <w:szCs w:val="16"/>
        </w:rPr>
      </w:pPr>
      <w:r w:rsidRPr="002D1B9F">
        <w:rPr>
          <w:rStyle w:val="FootnoteReference"/>
          <w:sz w:val="16"/>
          <w:szCs w:val="16"/>
        </w:rPr>
        <w:footnoteRef/>
      </w:r>
      <w:r w:rsidRPr="002D1B9F">
        <w:rPr>
          <w:sz w:val="16"/>
          <w:szCs w:val="16"/>
        </w:rPr>
        <w:t xml:space="preserve"> </w:t>
      </w:r>
      <w:r w:rsidR="00131BDF" w:rsidRPr="002D1B9F">
        <w:rPr>
          <w:sz w:val="16"/>
          <w:szCs w:val="16"/>
        </w:rPr>
        <w:t xml:space="preserve">Built environment – Core criteria for building safety in competence frameworks – Code of Practice. BSI Flex 8670: </w:t>
      </w:r>
      <w:proofErr w:type="spellStart"/>
      <w:r w:rsidR="00131BDF" w:rsidRPr="002D1B9F">
        <w:rPr>
          <w:sz w:val="16"/>
          <w:szCs w:val="16"/>
        </w:rPr>
        <w:t>v3.0</w:t>
      </w:r>
      <w:proofErr w:type="spellEnd"/>
      <w:r w:rsidR="00131BDF" w:rsidRPr="002D1B9F">
        <w:rPr>
          <w:sz w:val="16"/>
          <w:szCs w:val="16"/>
        </w:rPr>
        <w:t xml:space="preserve"> 2021-04. BSI. </w:t>
      </w:r>
      <w:r w:rsidR="000576FC">
        <w:rPr>
          <w:sz w:val="16"/>
          <w:szCs w:val="16"/>
        </w:rPr>
        <w:t xml:space="preserve">Published April 2021. </w:t>
      </w:r>
      <w:r w:rsidR="00131BDF" w:rsidRPr="002D1B9F">
        <w:rPr>
          <w:sz w:val="16"/>
          <w:szCs w:val="16"/>
        </w:rPr>
        <w:t xml:space="preserve">Available from: </w:t>
      </w:r>
      <w:hyperlink r:id="rId7" w:history="1">
        <w:r w:rsidR="00131BDF" w:rsidRPr="002D1B9F">
          <w:rPr>
            <w:rStyle w:val="Hyperlink"/>
            <w:sz w:val="16"/>
            <w:szCs w:val="16"/>
          </w:rPr>
          <w:t>https://www.bsigroup.com/en-GB/industries-and-sectors/construction-and-the-built-environment/built-environment-competence-standards/download-form/</w:t>
        </w:r>
      </w:hyperlink>
      <w:r w:rsidR="00131BDF" w:rsidRPr="002D1B9F">
        <w:rPr>
          <w:sz w:val="16"/>
          <w:szCs w:val="16"/>
        </w:rPr>
        <w:t xml:space="preserve"> </w:t>
      </w:r>
    </w:p>
  </w:footnote>
  <w:footnote w:id="9">
    <w:p w14:paraId="231D6E38" w14:textId="0405AF3B" w:rsidR="00F933E5" w:rsidRPr="002D1B9F" w:rsidRDefault="00F933E5">
      <w:pPr>
        <w:pStyle w:val="FootnoteText"/>
        <w:rPr>
          <w:sz w:val="16"/>
          <w:szCs w:val="16"/>
        </w:rPr>
      </w:pPr>
      <w:r w:rsidRPr="002D1B9F">
        <w:rPr>
          <w:rStyle w:val="FootnoteReference"/>
          <w:sz w:val="16"/>
          <w:szCs w:val="16"/>
        </w:rPr>
        <w:footnoteRef/>
      </w:r>
      <w:r w:rsidRPr="002D1B9F">
        <w:rPr>
          <w:sz w:val="16"/>
          <w:szCs w:val="16"/>
        </w:rPr>
        <w:t xml:space="preserve"> Buil</w:t>
      </w:r>
      <w:r w:rsidR="000576FC">
        <w:rPr>
          <w:sz w:val="16"/>
          <w:szCs w:val="16"/>
        </w:rPr>
        <w:t>t</w:t>
      </w:r>
      <w:r w:rsidRPr="002D1B9F">
        <w:rPr>
          <w:sz w:val="16"/>
          <w:szCs w:val="16"/>
        </w:rPr>
        <w:t xml:space="preserve"> Environment – Proposed construction product competence standard – white paper</w:t>
      </w:r>
      <w:r w:rsidR="000E3CE6" w:rsidRPr="002D1B9F">
        <w:rPr>
          <w:sz w:val="16"/>
          <w:szCs w:val="16"/>
        </w:rPr>
        <w:t xml:space="preserve">. CPA. </w:t>
      </w:r>
      <w:r w:rsidR="00B21281">
        <w:rPr>
          <w:sz w:val="16"/>
          <w:szCs w:val="16"/>
        </w:rPr>
        <w:t xml:space="preserve">Published September 2022. </w:t>
      </w:r>
      <w:r w:rsidR="000E3CE6" w:rsidRPr="002D1B9F">
        <w:rPr>
          <w:sz w:val="16"/>
          <w:szCs w:val="16"/>
        </w:rPr>
        <w:t xml:space="preserve">Available from: </w:t>
      </w:r>
      <w:hyperlink r:id="rId8" w:history="1">
        <w:r w:rsidR="000E3CE6" w:rsidRPr="002D1B9F">
          <w:rPr>
            <w:rStyle w:val="Hyperlink"/>
            <w:sz w:val="16"/>
            <w:szCs w:val="16"/>
          </w:rPr>
          <w:t>https://www.constructionproducts.org.uk/publications/technical-and-regulatory/built-environment-proposed-construction-product-competence-standard-white-paper/</w:t>
        </w:r>
      </w:hyperlink>
      <w:r w:rsidR="000E3CE6" w:rsidRPr="002D1B9F">
        <w:rPr>
          <w:sz w:val="16"/>
          <w:szCs w:val="16"/>
        </w:rPr>
        <w:t xml:space="preserve"> </w:t>
      </w:r>
    </w:p>
  </w:footnote>
  <w:footnote w:id="10">
    <w:p w14:paraId="1D240639" w14:textId="77AE739A" w:rsidR="00491231" w:rsidRDefault="00491231">
      <w:pPr>
        <w:pStyle w:val="FootnoteText"/>
      </w:pPr>
      <w:r w:rsidRPr="002D1B9F">
        <w:rPr>
          <w:rStyle w:val="FootnoteReference"/>
          <w:sz w:val="16"/>
          <w:szCs w:val="16"/>
        </w:rPr>
        <w:footnoteRef/>
      </w:r>
      <w:r w:rsidRPr="002D1B9F">
        <w:rPr>
          <w:sz w:val="16"/>
          <w:szCs w:val="16"/>
        </w:rPr>
        <w:t xml:space="preserve"> Achieving Competence in the Building Envelope Sector</w:t>
      </w:r>
      <w:r w:rsidR="008B2E76" w:rsidRPr="002D1B9F">
        <w:rPr>
          <w:sz w:val="16"/>
          <w:szCs w:val="16"/>
        </w:rPr>
        <w:t xml:space="preserve">. </w:t>
      </w:r>
      <w:proofErr w:type="spellStart"/>
      <w:r w:rsidR="008B2E76" w:rsidRPr="002D1B9F">
        <w:rPr>
          <w:sz w:val="16"/>
          <w:szCs w:val="16"/>
        </w:rPr>
        <w:t>JCI</w:t>
      </w:r>
      <w:proofErr w:type="spellEnd"/>
      <w:r w:rsidR="008B2E76" w:rsidRPr="002D1B9F">
        <w:rPr>
          <w:sz w:val="16"/>
          <w:szCs w:val="16"/>
        </w:rPr>
        <w:t xml:space="preserve">. </w:t>
      </w:r>
      <w:r w:rsidR="00B21281">
        <w:rPr>
          <w:sz w:val="16"/>
          <w:szCs w:val="16"/>
        </w:rPr>
        <w:t xml:space="preserve">Published June 2023. </w:t>
      </w:r>
      <w:r w:rsidR="008B2E76" w:rsidRPr="002D1B9F">
        <w:rPr>
          <w:sz w:val="16"/>
          <w:szCs w:val="16"/>
        </w:rPr>
        <w:t xml:space="preserve">Available from: </w:t>
      </w:r>
      <w:hyperlink r:id="rId9" w:history="1">
        <w:r w:rsidR="008B2E76" w:rsidRPr="002D1B9F">
          <w:rPr>
            <w:rStyle w:val="Hyperlink"/>
            <w:sz w:val="16"/>
            <w:szCs w:val="16"/>
          </w:rPr>
          <w:t>https://c-a-b.org.uk/wp-content/uploads/White-Paper-Achieving-Competence-in-the-Building-Envelope-Sector-Publication-Version-09.05.23.pdf</w:t>
        </w:r>
      </w:hyperlink>
      <w:r w:rsidR="008B2E76" w:rsidRPr="002D1B9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4A54" w14:textId="4D409DB4" w:rsidR="00432081" w:rsidRDefault="00ED5BC4">
    <w:pPr>
      <w:pStyle w:val="Header"/>
    </w:pPr>
    <w:r>
      <w:rPr>
        <w:noProof/>
      </w:rPr>
      <w:pict w14:anchorId="632994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293814" o:spid="_x0000_s1028" type="#_x0000_t136" style="position:absolute;margin-left:0;margin-top:0;width:397.7pt;height:238.6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96D74" w14:textId="4647A2A1" w:rsidR="00432081" w:rsidRDefault="00ED5BC4">
    <w:pPr>
      <w:pStyle w:val="Header"/>
    </w:pPr>
    <w:r>
      <w:rPr>
        <w:noProof/>
      </w:rPr>
      <w:pict w14:anchorId="4F713D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293815" o:spid="_x0000_s1029" type="#_x0000_t136" style="position:absolute;margin-left:0;margin-top:0;width:397.7pt;height:238.6pt;rotation:315;z-index:-2516582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6E63" w14:textId="44A353BF" w:rsidR="00432081" w:rsidRDefault="00ED5BC4">
    <w:pPr>
      <w:pStyle w:val="Header"/>
    </w:pPr>
    <w:r>
      <w:rPr>
        <w:noProof/>
      </w:rPr>
      <w:pict w14:anchorId="3862E2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3293813" o:spid="_x0000_s1030" type="#_x0000_t136" style="position:absolute;margin-left:0;margin-top:0;width:397.7pt;height:238.6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C6600"/>
    <w:multiLevelType w:val="hybridMultilevel"/>
    <w:tmpl w:val="95208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21CD5"/>
    <w:multiLevelType w:val="hybridMultilevel"/>
    <w:tmpl w:val="8A3219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3C7B07"/>
    <w:multiLevelType w:val="hybridMultilevel"/>
    <w:tmpl w:val="1BD657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CD2646"/>
    <w:multiLevelType w:val="hybridMultilevel"/>
    <w:tmpl w:val="86A0398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B8256C3"/>
    <w:multiLevelType w:val="hybridMultilevel"/>
    <w:tmpl w:val="73B09C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8948ED"/>
    <w:multiLevelType w:val="hybridMultilevel"/>
    <w:tmpl w:val="C974E2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D275FE6"/>
    <w:multiLevelType w:val="hybridMultilevel"/>
    <w:tmpl w:val="9A5E8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C1067E"/>
    <w:multiLevelType w:val="hybridMultilevel"/>
    <w:tmpl w:val="637E3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7770BF"/>
    <w:multiLevelType w:val="hybridMultilevel"/>
    <w:tmpl w:val="27C0634E"/>
    <w:lvl w:ilvl="0" w:tplc="8FD4245C">
      <w:start w:val="18"/>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6A6A13"/>
    <w:multiLevelType w:val="hybridMultilevel"/>
    <w:tmpl w:val="5F280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9E5B4E"/>
    <w:multiLevelType w:val="hybridMultilevel"/>
    <w:tmpl w:val="2E5865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5BC07BF"/>
    <w:multiLevelType w:val="hybridMultilevel"/>
    <w:tmpl w:val="61184B46"/>
    <w:lvl w:ilvl="0" w:tplc="8FD4245C">
      <w:start w:val="18"/>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4C117D"/>
    <w:multiLevelType w:val="hybridMultilevel"/>
    <w:tmpl w:val="557495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9A7F06"/>
    <w:multiLevelType w:val="hybridMultilevel"/>
    <w:tmpl w:val="9D6A60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8766746"/>
    <w:multiLevelType w:val="hybridMultilevel"/>
    <w:tmpl w:val="5B901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F755F1"/>
    <w:multiLevelType w:val="multilevel"/>
    <w:tmpl w:val="CC241C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741E8"/>
    <w:multiLevelType w:val="hybridMultilevel"/>
    <w:tmpl w:val="30B60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53BD0"/>
    <w:multiLevelType w:val="multilevel"/>
    <w:tmpl w:val="8C3C642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5F9A5E86"/>
    <w:multiLevelType w:val="hybridMultilevel"/>
    <w:tmpl w:val="C45451AC"/>
    <w:lvl w:ilvl="0" w:tplc="B97652B4">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1C33905"/>
    <w:multiLevelType w:val="hybridMultilevel"/>
    <w:tmpl w:val="5CD23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3881C10"/>
    <w:multiLevelType w:val="hybridMultilevel"/>
    <w:tmpl w:val="931E8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186D26"/>
    <w:multiLevelType w:val="hybridMultilevel"/>
    <w:tmpl w:val="2B640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5C1DAA"/>
    <w:multiLevelType w:val="hybridMultilevel"/>
    <w:tmpl w:val="9620C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2F356A"/>
    <w:multiLevelType w:val="hybridMultilevel"/>
    <w:tmpl w:val="C394B9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69254159">
    <w:abstractNumId w:val="1"/>
  </w:num>
  <w:num w:numId="2" w16cid:durableId="1519078397">
    <w:abstractNumId w:val="22"/>
  </w:num>
  <w:num w:numId="3" w16cid:durableId="274794154">
    <w:abstractNumId w:val="20"/>
  </w:num>
  <w:num w:numId="4" w16cid:durableId="322975497">
    <w:abstractNumId w:val="2"/>
  </w:num>
  <w:num w:numId="5" w16cid:durableId="1472940527">
    <w:abstractNumId w:val="4"/>
  </w:num>
  <w:num w:numId="6" w16cid:durableId="1688362348">
    <w:abstractNumId w:val="7"/>
  </w:num>
  <w:num w:numId="7" w16cid:durableId="1914700264">
    <w:abstractNumId w:val="12"/>
  </w:num>
  <w:num w:numId="8" w16cid:durableId="1199931171">
    <w:abstractNumId w:val="6"/>
  </w:num>
  <w:num w:numId="9" w16cid:durableId="1089622650">
    <w:abstractNumId w:val="14"/>
  </w:num>
  <w:num w:numId="10" w16cid:durableId="1512641138">
    <w:abstractNumId w:val="18"/>
  </w:num>
  <w:num w:numId="11" w16cid:durableId="1287586000">
    <w:abstractNumId w:val="11"/>
  </w:num>
  <w:num w:numId="12" w16cid:durableId="1133981763">
    <w:abstractNumId w:val="8"/>
  </w:num>
  <w:num w:numId="13" w16cid:durableId="377627201">
    <w:abstractNumId w:val="3"/>
  </w:num>
  <w:num w:numId="14" w16cid:durableId="1879773873">
    <w:abstractNumId w:val="9"/>
  </w:num>
  <w:num w:numId="15" w16cid:durableId="2065449865">
    <w:abstractNumId w:val="16"/>
  </w:num>
  <w:num w:numId="16" w16cid:durableId="1942252519">
    <w:abstractNumId w:val="15"/>
  </w:num>
  <w:num w:numId="17" w16cid:durableId="1428117398">
    <w:abstractNumId w:val="17"/>
  </w:num>
  <w:num w:numId="18" w16cid:durableId="756093028">
    <w:abstractNumId w:val="0"/>
  </w:num>
  <w:num w:numId="19" w16cid:durableId="158739886">
    <w:abstractNumId w:val="5"/>
  </w:num>
  <w:num w:numId="20" w16cid:durableId="1143622182">
    <w:abstractNumId w:val="23"/>
  </w:num>
  <w:num w:numId="21" w16cid:durableId="587809791">
    <w:abstractNumId w:val="13"/>
  </w:num>
  <w:num w:numId="22" w16cid:durableId="943996537">
    <w:abstractNumId w:val="19"/>
  </w:num>
  <w:num w:numId="23" w16cid:durableId="1250777509">
    <w:abstractNumId w:val="21"/>
  </w:num>
  <w:num w:numId="24" w16cid:durableId="9181734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8B"/>
    <w:rsid w:val="0000119A"/>
    <w:rsid w:val="00001F85"/>
    <w:rsid w:val="00003FFF"/>
    <w:rsid w:val="00005E8C"/>
    <w:rsid w:val="000078D8"/>
    <w:rsid w:val="00010CFB"/>
    <w:rsid w:val="00011414"/>
    <w:rsid w:val="00012B32"/>
    <w:rsid w:val="00015B08"/>
    <w:rsid w:val="00015D67"/>
    <w:rsid w:val="000175B1"/>
    <w:rsid w:val="00021A97"/>
    <w:rsid w:val="0002231B"/>
    <w:rsid w:val="00024642"/>
    <w:rsid w:val="00024E17"/>
    <w:rsid w:val="00024E84"/>
    <w:rsid w:val="000255F7"/>
    <w:rsid w:val="000264F6"/>
    <w:rsid w:val="00026B08"/>
    <w:rsid w:val="00027F4B"/>
    <w:rsid w:val="000300FC"/>
    <w:rsid w:val="00031E5F"/>
    <w:rsid w:val="00032E34"/>
    <w:rsid w:val="00034991"/>
    <w:rsid w:val="000349EA"/>
    <w:rsid w:val="0003565F"/>
    <w:rsid w:val="00035E9C"/>
    <w:rsid w:val="0003769D"/>
    <w:rsid w:val="0004037C"/>
    <w:rsid w:val="00041716"/>
    <w:rsid w:val="00041D01"/>
    <w:rsid w:val="000441C2"/>
    <w:rsid w:val="00045345"/>
    <w:rsid w:val="0004548A"/>
    <w:rsid w:val="00045633"/>
    <w:rsid w:val="0004570B"/>
    <w:rsid w:val="00045A68"/>
    <w:rsid w:val="00046C52"/>
    <w:rsid w:val="00051B3F"/>
    <w:rsid w:val="000520F2"/>
    <w:rsid w:val="0005313E"/>
    <w:rsid w:val="00055A97"/>
    <w:rsid w:val="0005680B"/>
    <w:rsid w:val="000573BF"/>
    <w:rsid w:val="000576FC"/>
    <w:rsid w:val="00057BD7"/>
    <w:rsid w:val="000603FB"/>
    <w:rsid w:val="00060500"/>
    <w:rsid w:val="00060EB3"/>
    <w:rsid w:val="00063519"/>
    <w:rsid w:val="000638E6"/>
    <w:rsid w:val="00065444"/>
    <w:rsid w:val="000659ED"/>
    <w:rsid w:val="00066587"/>
    <w:rsid w:val="00070046"/>
    <w:rsid w:val="000701A1"/>
    <w:rsid w:val="000705CE"/>
    <w:rsid w:val="00070AC9"/>
    <w:rsid w:val="000712F1"/>
    <w:rsid w:val="00071AC6"/>
    <w:rsid w:val="00074148"/>
    <w:rsid w:val="00075B62"/>
    <w:rsid w:val="0007735E"/>
    <w:rsid w:val="000818CA"/>
    <w:rsid w:val="000842F6"/>
    <w:rsid w:val="00084A57"/>
    <w:rsid w:val="00086AB5"/>
    <w:rsid w:val="000900A0"/>
    <w:rsid w:val="000902DC"/>
    <w:rsid w:val="00093FC4"/>
    <w:rsid w:val="000956D1"/>
    <w:rsid w:val="00097B93"/>
    <w:rsid w:val="000A050C"/>
    <w:rsid w:val="000A3885"/>
    <w:rsid w:val="000A51C8"/>
    <w:rsid w:val="000A53CF"/>
    <w:rsid w:val="000A5620"/>
    <w:rsid w:val="000A5CC7"/>
    <w:rsid w:val="000A5D9D"/>
    <w:rsid w:val="000B0DE2"/>
    <w:rsid w:val="000B2C25"/>
    <w:rsid w:val="000B37DA"/>
    <w:rsid w:val="000B3C59"/>
    <w:rsid w:val="000B3CB3"/>
    <w:rsid w:val="000B60BA"/>
    <w:rsid w:val="000B65BB"/>
    <w:rsid w:val="000B6DBC"/>
    <w:rsid w:val="000C1358"/>
    <w:rsid w:val="000C1857"/>
    <w:rsid w:val="000C53D7"/>
    <w:rsid w:val="000C54D9"/>
    <w:rsid w:val="000C54F8"/>
    <w:rsid w:val="000C7E7A"/>
    <w:rsid w:val="000D08B4"/>
    <w:rsid w:val="000D24EB"/>
    <w:rsid w:val="000D73CD"/>
    <w:rsid w:val="000D774E"/>
    <w:rsid w:val="000E3924"/>
    <w:rsid w:val="000E3CE6"/>
    <w:rsid w:val="000E5365"/>
    <w:rsid w:val="000F103E"/>
    <w:rsid w:val="000F33DB"/>
    <w:rsid w:val="000F527D"/>
    <w:rsid w:val="000F6490"/>
    <w:rsid w:val="000F6B77"/>
    <w:rsid w:val="000F7907"/>
    <w:rsid w:val="000F7E51"/>
    <w:rsid w:val="0010000E"/>
    <w:rsid w:val="00100F34"/>
    <w:rsid w:val="0010140F"/>
    <w:rsid w:val="00101975"/>
    <w:rsid w:val="00103D2F"/>
    <w:rsid w:val="0010445E"/>
    <w:rsid w:val="001055E4"/>
    <w:rsid w:val="001062BF"/>
    <w:rsid w:val="00113B18"/>
    <w:rsid w:val="00115844"/>
    <w:rsid w:val="00115CB4"/>
    <w:rsid w:val="00115F2A"/>
    <w:rsid w:val="001163F8"/>
    <w:rsid w:val="00116638"/>
    <w:rsid w:val="00116B04"/>
    <w:rsid w:val="00117C76"/>
    <w:rsid w:val="00117ECF"/>
    <w:rsid w:val="00120AFB"/>
    <w:rsid w:val="001218ED"/>
    <w:rsid w:val="00121CCC"/>
    <w:rsid w:val="00122ADD"/>
    <w:rsid w:val="00122EE5"/>
    <w:rsid w:val="00123434"/>
    <w:rsid w:val="00124FC1"/>
    <w:rsid w:val="001253B4"/>
    <w:rsid w:val="001262DF"/>
    <w:rsid w:val="00127774"/>
    <w:rsid w:val="00127D75"/>
    <w:rsid w:val="00127E70"/>
    <w:rsid w:val="00130D64"/>
    <w:rsid w:val="00130E85"/>
    <w:rsid w:val="001315C9"/>
    <w:rsid w:val="00131BDF"/>
    <w:rsid w:val="0013365B"/>
    <w:rsid w:val="00135151"/>
    <w:rsid w:val="0013613B"/>
    <w:rsid w:val="001401F7"/>
    <w:rsid w:val="00141B80"/>
    <w:rsid w:val="001433A5"/>
    <w:rsid w:val="001442BC"/>
    <w:rsid w:val="0014565E"/>
    <w:rsid w:val="00150941"/>
    <w:rsid w:val="001509C0"/>
    <w:rsid w:val="001509E5"/>
    <w:rsid w:val="001510CE"/>
    <w:rsid w:val="0015165A"/>
    <w:rsid w:val="00152C22"/>
    <w:rsid w:val="00154FCB"/>
    <w:rsid w:val="00155357"/>
    <w:rsid w:val="00156C1A"/>
    <w:rsid w:val="00157ABD"/>
    <w:rsid w:val="00160653"/>
    <w:rsid w:val="001622FA"/>
    <w:rsid w:val="001625CC"/>
    <w:rsid w:val="00162B7B"/>
    <w:rsid w:val="00162FC1"/>
    <w:rsid w:val="00163A5B"/>
    <w:rsid w:val="00164D38"/>
    <w:rsid w:val="00165921"/>
    <w:rsid w:val="00166D05"/>
    <w:rsid w:val="001673D5"/>
    <w:rsid w:val="001705CD"/>
    <w:rsid w:val="00170E29"/>
    <w:rsid w:val="00172AAC"/>
    <w:rsid w:val="00174A29"/>
    <w:rsid w:val="00175A82"/>
    <w:rsid w:val="00177442"/>
    <w:rsid w:val="00177E78"/>
    <w:rsid w:val="001802AF"/>
    <w:rsid w:val="001805DA"/>
    <w:rsid w:val="00180B76"/>
    <w:rsid w:val="0018341B"/>
    <w:rsid w:val="00183F62"/>
    <w:rsid w:val="00185CC4"/>
    <w:rsid w:val="00187465"/>
    <w:rsid w:val="0019125D"/>
    <w:rsid w:val="0019250D"/>
    <w:rsid w:val="00192900"/>
    <w:rsid w:val="00193CDD"/>
    <w:rsid w:val="0019493E"/>
    <w:rsid w:val="00197263"/>
    <w:rsid w:val="00197C43"/>
    <w:rsid w:val="001A0951"/>
    <w:rsid w:val="001A0F68"/>
    <w:rsid w:val="001A21A8"/>
    <w:rsid w:val="001A2885"/>
    <w:rsid w:val="001A2913"/>
    <w:rsid w:val="001A2BF6"/>
    <w:rsid w:val="001A3B05"/>
    <w:rsid w:val="001B07AD"/>
    <w:rsid w:val="001B0A29"/>
    <w:rsid w:val="001B0F8D"/>
    <w:rsid w:val="001B37F3"/>
    <w:rsid w:val="001B38B3"/>
    <w:rsid w:val="001B3ED2"/>
    <w:rsid w:val="001B4047"/>
    <w:rsid w:val="001B455A"/>
    <w:rsid w:val="001C04D7"/>
    <w:rsid w:val="001C2314"/>
    <w:rsid w:val="001C2D73"/>
    <w:rsid w:val="001C4EB4"/>
    <w:rsid w:val="001C548A"/>
    <w:rsid w:val="001C58EE"/>
    <w:rsid w:val="001C59B9"/>
    <w:rsid w:val="001D267C"/>
    <w:rsid w:val="001D31F6"/>
    <w:rsid w:val="001D3553"/>
    <w:rsid w:val="001D3DE2"/>
    <w:rsid w:val="001D57AB"/>
    <w:rsid w:val="001D5AF0"/>
    <w:rsid w:val="001E09F5"/>
    <w:rsid w:val="001E0F54"/>
    <w:rsid w:val="001F1C43"/>
    <w:rsid w:val="001F1EA0"/>
    <w:rsid w:val="001F2497"/>
    <w:rsid w:val="001F2FE9"/>
    <w:rsid w:val="001F4933"/>
    <w:rsid w:val="001F6770"/>
    <w:rsid w:val="001F70F8"/>
    <w:rsid w:val="001F7213"/>
    <w:rsid w:val="001F79D1"/>
    <w:rsid w:val="00202A07"/>
    <w:rsid w:val="00205082"/>
    <w:rsid w:val="002057C3"/>
    <w:rsid w:val="00206BBE"/>
    <w:rsid w:val="00212561"/>
    <w:rsid w:val="00212E0E"/>
    <w:rsid w:val="0021394E"/>
    <w:rsid w:val="0021434C"/>
    <w:rsid w:val="00214B7E"/>
    <w:rsid w:val="0021543C"/>
    <w:rsid w:val="0021552D"/>
    <w:rsid w:val="00215654"/>
    <w:rsid w:val="0021600C"/>
    <w:rsid w:val="00217293"/>
    <w:rsid w:val="00221959"/>
    <w:rsid w:val="00221EF1"/>
    <w:rsid w:val="00221F8A"/>
    <w:rsid w:val="00222606"/>
    <w:rsid w:val="00223720"/>
    <w:rsid w:val="00224D49"/>
    <w:rsid w:val="00225298"/>
    <w:rsid w:val="002263E5"/>
    <w:rsid w:val="00231714"/>
    <w:rsid w:val="002324C1"/>
    <w:rsid w:val="0023289F"/>
    <w:rsid w:val="00237D4D"/>
    <w:rsid w:val="00237DCD"/>
    <w:rsid w:val="00241B3D"/>
    <w:rsid w:val="00243907"/>
    <w:rsid w:val="00243E3D"/>
    <w:rsid w:val="00244FB3"/>
    <w:rsid w:val="002453DE"/>
    <w:rsid w:val="00247EF3"/>
    <w:rsid w:val="0025488D"/>
    <w:rsid w:val="0025510C"/>
    <w:rsid w:val="002551CD"/>
    <w:rsid w:val="002566BE"/>
    <w:rsid w:val="00260763"/>
    <w:rsid w:val="00260CF1"/>
    <w:rsid w:val="00261E6B"/>
    <w:rsid w:val="00262ABD"/>
    <w:rsid w:val="002638DF"/>
    <w:rsid w:val="002645F6"/>
    <w:rsid w:val="00264F9A"/>
    <w:rsid w:val="00265764"/>
    <w:rsid w:val="0026661F"/>
    <w:rsid w:val="00267407"/>
    <w:rsid w:val="0027058F"/>
    <w:rsid w:val="002732F5"/>
    <w:rsid w:val="00274395"/>
    <w:rsid w:val="00275B15"/>
    <w:rsid w:val="0028027F"/>
    <w:rsid w:val="002810AA"/>
    <w:rsid w:val="0028267D"/>
    <w:rsid w:val="002827CA"/>
    <w:rsid w:val="00282A52"/>
    <w:rsid w:val="00282F5A"/>
    <w:rsid w:val="00284722"/>
    <w:rsid w:val="00285C8C"/>
    <w:rsid w:val="00286297"/>
    <w:rsid w:val="00286C74"/>
    <w:rsid w:val="002878C4"/>
    <w:rsid w:val="00291138"/>
    <w:rsid w:val="0029300D"/>
    <w:rsid w:val="00294BD3"/>
    <w:rsid w:val="00295610"/>
    <w:rsid w:val="00295BCB"/>
    <w:rsid w:val="002A261C"/>
    <w:rsid w:val="002A2AC1"/>
    <w:rsid w:val="002A3C52"/>
    <w:rsid w:val="002A46E9"/>
    <w:rsid w:val="002A583A"/>
    <w:rsid w:val="002A7ABA"/>
    <w:rsid w:val="002B164A"/>
    <w:rsid w:val="002B1A9D"/>
    <w:rsid w:val="002B49A7"/>
    <w:rsid w:val="002B7738"/>
    <w:rsid w:val="002C0258"/>
    <w:rsid w:val="002C1400"/>
    <w:rsid w:val="002C1DAD"/>
    <w:rsid w:val="002C2D02"/>
    <w:rsid w:val="002C4857"/>
    <w:rsid w:val="002C48A9"/>
    <w:rsid w:val="002C617F"/>
    <w:rsid w:val="002C623C"/>
    <w:rsid w:val="002C69FB"/>
    <w:rsid w:val="002D0BB7"/>
    <w:rsid w:val="002D1266"/>
    <w:rsid w:val="002D1B9F"/>
    <w:rsid w:val="002D2E4A"/>
    <w:rsid w:val="002D32E9"/>
    <w:rsid w:val="002D4C43"/>
    <w:rsid w:val="002D58C0"/>
    <w:rsid w:val="002E0700"/>
    <w:rsid w:val="002E15C3"/>
    <w:rsid w:val="002E1BC5"/>
    <w:rsid w:val="002E1C07"/>
    <w:rsid w:val="002E3543"/>
    <w:rsid w:val="002E46ED"/>
    <w:rsid w:val="002E5403"/>
    <w:rsid w:val="002E578A"/>
    <w:rsid w:val="002E5BF6"/>
    <w:rsid w:val="002E786B"/>
    <w:rsid w:val="002F3593"/>
    <w:rsid w:val="002F3F76"/>
    <w:rsid w:val="002F4B81"/>
    <w:rsid w:val="002F691D"/>
    <w:rsid w:val="002F7F1B"/>
    <w:rsid w:val="00300838"/>
    <w:rsid w:val="00300EBD"/>
    <w:rsid w:val="003017BC"/>
    <w:rsid w:val="00304B81"/>
    <w:rsid w:val="00305772"/>
    <w:rsid w:val="00305D44"/>
    <w:rsid w:val="00306F1D"/>
    <w:rsid w:val="003133FC"/>
    <w:rsid w:val="003137AF"/>
    <w:rsid w:val="003149B5"/>
    <w:rsid w:val="00314AE7"/>
    <w:rsid w:val="00315C84"/>
    <w:rsid w:val="00316D1D"/>
    <w:rsid w:val="003216CC"/>
    <w:rsid w:val="00323FF8"/>
    <w:rsid w:val="0032572A"/>
    <w:rsid w:val="00325885"/>
    <w:rsid w:val="0032637A"/>
    <w:rsid w:val="00326464"/>
    <w:rsid w:val="00326825"/>
    <w:rsid w:val="00326A8A"/>
    <w:rsid w:val="003271B9"/>
    <w:rsid w:val="00330B3B"/>
    <w:rsid w:val="00332970"/>
    <w:rsid w:val="00332B03"/>
    <w:rsid w:val="003341A6"/>
    <w:rsid w:val="00334A1D"/>
    <w:rsid w:val="00334C8F"/>
    <w:rsid w:val="003360FE"/>
    <w:rsid w:val="003366B0"/>
    <w:rsid w:val="00337436"/>
    <w:rsid w:val="00342D59"/>
    <w:rsid w:val="003439F1"/>
    <w:rsid w:val="00344EDF"/>
    <w:rsid w:val="0034567E"/>
    <w:rsid w:val="0034659B"/>
    <w:rsid w:val="0035033C"/>
    <w:rsid w:val="00350385"/>
    <w:rsid w:val="003514BB"/>
    <w:rsid w:val="003519B4"/>
    <w:rsid w:val="00353E90"/>
    <w:rsid w:val="00354197"/>
    <w:rsid w:val="00354AC1"/>
    <w:rsid w:val="00355A98"/>
    <w:rsid w:val="00355F90"/>
    <w:rsid w:val="003618D1"/>
    <w:rsid w:val="00362768"/>
    <w:rsid w:val="00363C5B"/>
    <w:rsid w:val="003640CD"/>
    <w:rsid w:val="00364598"/>
    <w:rsid w:val="00365AC1"/>
    <w:rsid w:val="00365CD2"/>
    <w:rsid w:val="00366116"/>
    <w:rsid w:val="0037108C"/>
    <w:rsid w:val="003716E3"/>
    <w:rsid w:val="00373968"/>
    <w:rsid w:val="00374B1F"/>
    <w:rsid w:val="0037500C"/>
    <w:rsid w:val="0037530E"/>
    <w:rsid w:val="003758B7"/>
    <w:rsid w:val="00375CA5"/>
    <w:rsid w:val="00377598"/>
    <w:rsid w:val="003806BB"/>
    <w:rsid w:val="003836A0"/>
    <w:rsid w:val="003854DA"/>
    <w:rsid w:val="00385EF0"/>
    <w:rsid w:val="003865B2"/>
    <w:rsid w:val="00387613"/>
    <w:rsid w:val="0038767B"/>
    <w:rsid w:val="003878A2"/>
    <w:rsid w:val="00387C31"/>
    <w:rsid w:val="00391E05"/>
    <w:rsid w:val="00392DF9"/>
    <w:rsid w:val="00392EC8"/>
    <w:rsid w:val="00394409"/>
    <w:rsid w:val="003951DA"/>
    <w:rsid w:val="0039548A"/>
    <w:rsid w:val="00396062"/>
    <w:rsid w:val="003970BD"/>
    <w:rsid w:val="00397993"/>
    <w:rsid w:val="003A0269"/>
    <w:rsid w:val="003A2527"/>
    <w:rsid w:val="003A2D20"/>
    <w:rsid w:val="003A3A46"/>
    <w:rsid w:val="003A3D6C"/>
    <w:rsid w:val="003A7C3B"/>
    <w:rsid w:val="003B1EA7"/>
    <w:rsid w:val="003B2E3F"/>
    <w:rsid w:val="003B52F9"/>
    <w:rsid w:val="003B5E77"/>
    <w:rsid w:val="003C4538"/>
    <w:rsid w:val="003C48F3"/>
    <w:rsid w:val="003C6A5E"/>
    <w:rsid w:val="003D0AA8"/>
    <w:rsid w:val="003D1620"/>
    <w:rsid w:val="003D1B5F"/>
    <w:rsid w:val="003D1D0B"/>
    <w:rsid w:val="003D2E84"/>
    <w:rsid w:val="003D395E"/>
    <w:rsid w:val="003D3F43"/>
    <w:rsid w:val="003D55DA"/>
    <w:rsid w:val="003D587F"/>
    <w:rsid w:val="003D5CFA"/>
    <w:rsid w:val="003D6463"/>
    <w:rsid w:val="003D7ED8"/>
    <w:rsid w:val="003E0AD6"/>
    <w:rsid w:val="003E154D"/>
    <w:rsid w:val="003E1CB9"/>
    <w:rsid w:val="003E238D"/>
    <w:rsid w:val="003E4D8B"/>
    <w:rsid w:val="003E6106"/>
    <w:rsid w:val="003E6965"/>
    <w:rsid w:val="003F003D"/>
    <w:rsid w:val="003F09A0"/>
    <w:rsid w:val="003F12D9"/>
    <w:rsid w:val="003F1420"/>
    <w:rsid w:val="003F2FED"/>
    <w:rsid w:val="003F415B"/>
    <w:rsid w:val="003F59DB"/>
    <w:rsid w:val="00401297"/>
    <w:rsid w:val="004022EF"/>
    <w:rsid w:val="004028D6"/>
    <w:rsid w:val="00402E9F"/>
    <w:rsid w:val="00403046"/>
    <w:rsid w:val="004040D6"/>
    <w:rsid w:val="00406ED7"/>
    <w:rsid w:val="004116FD"/>
    <w:rsid w:val="00411FF1"/>
    <w:rsid w:val="00413FEC"/>
    <w:rsid w:val="00417158"/>
    <w:rsid w:val="004177C3"/>
    <w:rsid w:val="004228B0"/>
    <w:rsid w:val="00423BDC"/>
    <w:rsid w:val="00426D4F"/>
    <w:rsid w:val="0042779E"/>
    <w:rsid w:val="00430883"/>
    <w:rsid w:val="00430B33"/>
    <w:rsid w:val="00432081"/>
    <w:rsid w:val="00436869"/>
    <w:rsid w:val="004373BC"/>
    <w:rsid w:val="00437779"/>
    <w:rsid w:val="00442B05"/>
    <w:rsid w:val="00443CAD"/>
    <w:rsid w:val="00445BC8"/>
    <w:rsid w:val="0045190C"/>
    <w:rsid w:val="00452B83"/>
    <w:rsid w:val="004538A0"/>
    <w:rsid w:val="00455208"/>
    <w:rsid w:val="00455859"/>
    <w:rsid w:val="00456DA0"/>
    <w:rsid w:val="00460722"/>
    <w:rsid w:val="00461748"/>
    <w:rsid w:val="00462309"/>
    <w:rsid w:val="00462CD8"/>
    <w:rsid w:val="004659A9"/>
    <w:rsid w:val="00465CE2"/>
    <w:rsid w:val="0046602F"/>
    <w:rsid w:val="0046772B"/>
    <w:rsid w:val="0047067F"/>
    <w:rsid w:val="00471042"/>
    <w:rsid w:val="0047183B"/>
    <w:rsid w:val="00472A1F"/>
    <w:rsid w:val="004732BF"/>
    <w:rsid w:val="00474F51"/>
    <w:rsid w:val="004752C2"/>
    <w:rsid w:val="00475F3B"/>
    <w:rsid w:val="00477C3B"/>
    <w:rsid w:val="004801D7"/>
    <w:rsid w:val="00480DA1"/>
    <w:rsid w:val="004810D2"/>
    <w:rsid w:val="00482753"/>
    <w:rsid w:val="00483521"/>
    <w:rsid w:val="0049062E"/>
    <w:rsid w:val="00490C24"/>
    <w:rsid w:val="00491231"/>
    <w:rsid w:val="0049190D"/>
    <w:rsid w:val="00494745"/>
    <w:rsid w:val="00495832"/>
    <w:rsid w:val="00495BF3"/>
    <w:rsid w:val="0049700F"/>
    <w:rsid w:val="004A050D"/>
    <w:rsid w:val="004A11AA"/>
    <w:rsid w:val="004A11C0"/>
    <w:rsid w:val="004A2C8F"/>
    <w:rsid w:val="004A3773"/>
    <w:rsid w:val="004A4CF9"/>
    <w:rsid w:val="004A6467"/>
    <w:rsid w:val="004B0BA3"/>
    <w:rsid w:val="004B0DB1"/>
    <w:rsid w:val="004B12E6"/>
    <w:rsid w:val="004B1920"/>
    <w:rsid w:val="004B2CF1"/>
    <w:rsid w:val="004B4C5F"/>
    <w:rsid w:val="004B5F00"/>
    <w:rsid w:val="004B798A"/>
    <w:rsid w:val="004C02FB"/>
    <w:rsid w:val="004C1342"/>
    <w:rsid w:val="004C4B41"/>
    <w:rsid w:val="004D0946"/>
    <w:rsid w:val="004D38E8"/>
    <w:rsid w:val="004D5321"/>
    <w:rsid w:val="004D671C"/>
    <w:rsid w:val="004D7247"/>
    <w:rsid w:val="004D743B"/>
    <w:rsid w:val="004D77F2"/>
    <w:rsid w:val="004E1FEB"/>
    <w:rsid w:val="004E285B"/>
    <w:rsid w:val="004E35DA"/>
    <w:rsid w:val="004E5BAF"/>
    <w:rsid w:val="004E5C86"/>
    <w:rsid w:val="004F1045"/>
    <w:rsid w:val="004F5488"/>
    <w:rsid w:val="005009E3"/>
    <w:rsid w:val="005020CE"/>
    <w:rsid w:val="005071EE"/>
    <w:rsid w:val="005105BD"/>
    <w:rsid w:val="00510F72"/>
    <w:rsid w:val="00511D09"/>
    <w:rsid w:val="00512A04"/>
    <w:rsid w:val="0051360C"/>
    <w:rsid w:val="005143AF"/>
    <w:rsid w:val="00517328"/>
    <w:rsid w:val="00521757"/>
    <w:rsid w:val="005224E7"/>
    <w:rsid w:val="00523174"/>
    <w:rsid w:val="0052622D"/>
    <w:rsid w:val="005302E2"/>
    <w:rsid w:val="00532B58"/>
    <w:rsid w:val="00532CF2"/>
    <w:rsid w:val="005330B1"/>
    <w:rsid w:val="00535D43"/>
    <w:rsid w:val="005372D7"/>
    <w:rsid w:val="00540405"/>
    <w:rsid w:val="0054190D"/>
    <w:rsid w:val="00542260"/>
    <w:rsid w:val="0054488B"/>
    <w:rsid w:val="005463D8"/>
    <w:rsid w:val="00547A00"/>
    <w:rsid w:val="00550AC9"/>
    <w:rsid w:val="005512D7"/>
    <w:rsid w:val="00551C33"/>
    <w:rsid w:val="00551E8E"/>
    <w:rsid w:val="00553CF7"/>
    <w:rsid w:val="0055516F"/>
    <w:rsid w:val="005566D7"/>
    <w:rsid w:val="005567C2"/>
    <w:rsid w:val="00560897"/>
    <w:rsid w:val="00561F50"/>
    <w:rsid w:val="0056488A"/>
    <w:rsid w:val="00567395"/>
    <w:rsid w:val="00567C3F"/>
    <w:rsid w:val="00572536"/>
    <w:rsid w:val="005800C3"/>
    <w:rsid w:val="00581448"/>
    <w:rsid w:val="00585101"/>
    <w:rsid w:val="005851D6"/>
    <w:rsid w:val="005869AD"/>
    <w:rsid w:val="0059354A"/>
    <w:rsid w:val="00593F96"/>
    <w:rsid w:val="00594FA2"/>
    <w:rsid w:val="005960FA"/>
    <w:rsid w:val="005A0623"/>
    <w:rsid w:val="005A11D1"/>
    <w:rsid w:val="005A235A"/>
    <w:rsid w:val="005A2597"/>
    <w:rsid w:val="005A2D2E"/>
    <w:rsid w:val="005A68F6"/>
    <w:rsid w:val="005A69C9"/>
    <w:rsid w:val="005A7596"/>
    <w:rsid w:val="005A7F69"/>
    <w:rsid w:val="005B25BB"/>
    <w:rsid w:val="005B2DA6"/>
    <w:rsid w:val="005B337C"/>
    <w:rsid w:val="005B3B87"/>
    <w:rsid w:val="005B5286"/>
    <w:rsid w:val="005B53AC"/>
    <w:rsid w:val="005B557F"/>
    <w:rsid w:val="005B581D"/>
    <w:rsid w:val="005B6C0F"/>
    <w:rsid w:val="005B71D8"/>
    <w:rsid w:val="005B7B93"/>
    <w:rsid w:val="005C014E"/>
    <w:rsid w:val="005C0F1B"/>
    <w:rsid w:val="005C4221"/>
    <w:rsid w:val="005C45EE"/>
    <w:rsid w:val="005C4C6E"/>
    <w:rsid w:val="005C72B6"/>
    <w:rsid w:val="005C7E13"/>
    <w:rsid w:val="005D03A4"/>
    <w:rsid w:val="005D1E23"/>
    <w:rsid w:val="005D1F16"/>
    <w:rsid w:val="005D400E"/>
    <w:rsid w:val="005D40B0"/>
    <w:rsid w:val="005D60A0"/>
    <w:rsid w:val="005D64DB"/>
    <w:rsid w:val="005E005A"/>
    <w:rsid w:val="005E25AE"/>
    <w:rsid w:val="005E2777"/>
    <w:rsid w:val="005E2CD7"/>
    <w:rsid w:val="005E2E5E"/>
    <w:rsid w:val="005E3B99"/>
    <w:rsid w:val="005E6F3D"/>
    <w:rsid w:val="005E7A3F"/>
    <w:rsid w:val="005E7F54"/>
    <w:rsid w:val="005F0A7A"/>
    <w:rsid w:val="005F12B6"/>
    <w:rsid w:val="005F1BD8"/>
    <w:rsid w:val="005F369C"/>
    <w:rsid w:val="005F43BB"/>
    <w:rsid w:val="005F454B"/>
    <w:rsid w:val="005F476C"/>
    <w:rsid w:val="005F498B"/>
    <w:rsid w:val="005F75AC"/>
    <w:rsid w:val="00600CE0"/>
    <w:rsid w:val="006015F9"/>
    <w:rsid w:val="006018CE"/>
    <w:rsid w:val="0060238D"/>
    <w:rsid w:val="006029A3"/>
    <w:rsid w:val="00602DD9"/>
    <w:rsid w:val="00604262"/>
    <w:rsid w:val="00611792"/>
    <w:rsid w:val="00616992"/>
    <w:rsid w:val="00617541"/>
    <w:rsid w:val="00617805"/>
    <w:rsid w:val="00617CA0"/>
    <w:rsid w:val="00625CEB"/>
    <w:rsid w:val="00625CEC"/>
    <w:rsid w:val="00625D1C"/>
    <w:rsid w:val="00630A8A"/>
    <w:rsid w:val="00631FFA"/>
    <w:rsid w:val="006352F7"/>
    <w:rsid w:val="00636115"/>
    <w:rsid w:val="00636250"/>
    <w:rsid w:val="006368FD"/>
    <w:rsid w:val="00636F81"/>
    <w:rsid w:val="00640168"/>
    <w:rsid w:val="006402CE"/>
    <w:rsid w:val="00640623"/>
    <w:rsid w:val="00642192"/>
    <w:rsid w:val="00643A3B"/>
    <w:rsid w:val="00646DDC"/>
    <w:rsid w:val="00647E08"/>
    <w:rsid w:val="00651B02"/>
    <w:rsid w:val="00653482"/>
    <w:rsid w:val="0065444C"/>
    <w:rsid w:val="00654FAF"/>
    <w:rsid w:val="006554FC"/>
    <w:rsid w:val="00656F89"/>
    <w:rsid w:val="00657EC8"/>
    <w:rsid w:val="00663863"/>
    <w:rsid w:val="00665084"/>
    <w:rsid w:val="00665C3A"/>
    <w:rsid w:val="00670A4F"/>
    <w:rsid w:val="0067144D"/>
    <w:rsid w:val="006729EE"/>
    <w:rsid w:val="00672FFA"/>
    <w:rsid w:val="00675536"/>
    <w:rsid w:val="00675BAD"/>
    <w:rsid w:val="00676A2B"/>
    <w:rsid w:val="00677CEE"/>
    <w:rsid w:val="006811E1"/>
    <w:rsid w:val="00681245"/>
    <w:rsid w:val="00681661"/>
    <w:rsid w:val="0068194D"/>
    <w:rsid w:val="006837D0"/>
    <w:rsid w:val="00683BEC"/>
    <w:rsid w:val="006852DE"/>
    <w:rsid w:val="0068570B"/>
    <w:rsid w:val="0068579D"/>
    <w:rsid w:val="00687815"/>
    <w:rsid w:val="00690B21"/>
    <w:rsid w:val="006921AF"/>
    <w:rsid w:val="00693C40"/>
    <w:rsid w:val="00694B4E"/>
    <w:rsid w:val="00695A80"/>
    <w:rsid w:val="00696565"/>
    <w:rsid w:val="006971CD"/>
    <w:rsid w:val="00697291"/>
    <w:rsid w:val="006A1EB9"/>
    <w:rsid w:val="006A2B06"/>
    <w:rsid w:val="006A301C"/>
    <w:rsid w:val="006A3F0E"/>
    <w:rsid w:val="006A6F5C"/>
    <w:rsid w:val="006A72D1"/>
    <w:rsid w:val="006A7B76"/>
    <w:rsid w:val="006B2941"/>
    <w:rsid w:val="006B3141"/>
    <w:rsid w:val="006B4BA3"/>
    <w:rsid w:val="006B504F"/>
    <w:rsid w:val="006B76EF"/>
    <w:rsid w:val="006C2498"/>
    <w:rsid w:val="006C2841"/>
    <w:rsid w:val="006C31E4"/>
    <w:rsid w:val="006C38A1"/>
    <w:rsid w:val="006C48E7"/>
    <w:rsid w:val="006C5517"/>
    <w:rsid w:val="006C6EBA"/>
    <w:rsid w:val="006C755C"/>
    <w:rsid w:val="006D0910"/>
    <w:rsid w:val="006D0AB3"/>
    <w:rsid w:val="006D1EF5"/>
    <w:rsid w:val="006D20C9"/>
    <w:rsid w:val="006D344F"/>
    <w:rsid w:val="006D36AE"/>
    <w:rsid w:val="006D3F2E"/>
    <w:rsid w:val="006D5D19"/>
    <w:rsid w:val="006D6B14"/>
    <w:rsid w:val="006D6E65"/>
    <w:rsid w:val="006E005E"/>
    <w:rsid w:val="006E1289"/>
    <w:rsid w:val="006E2E77"/>
    <w:rsid w:val="006E31A3"/>
    <w:rsid w:val="006E50D9"/>
    <w:rsid w:val="006E6AB6"/>
    <w:rsid w:val="006E781A"/>
    <w:rsid w:val="006F0879"/>
    <w:rsid w:val="006F16CA"/>
    <w:rsid w:val="006F1733"/>
    <w:rsid w:val="006F287F"/>
    <w:rsid w:val="006F38C5"/>
    <w:rsid w:val="006F5560"/>
    <w:rsid w:val="006F6CE0"/>
    <w:rsid w:val="0070078B"/>
    <w:rsid w:val="00701B9F"/>
    <w:rsid w:val="00703712"/>
    <w:rsid w:val="00703F16"/>
    <w:rsid w:val="007047AF"/>
    <w:rsid w:val="00704C68"/>
    <w:rsid w:val="00706384"/>
    <w:rsid w:val="0070649F"/>
    <w:rsid w:val="00706848"/>
    <w:rsid w:val="0070686E"/>
    <w:rsid w:val="007069C8"/>
    <w:rsid w:val="00706C22"/>
    <w:rsid w:val="007076AD"/>
    <w:rsid w:val="007079F7"/>
    <w:rsid w:val="007105CE"/>
    <w:rsid w:val="00710AA6"/>
    <w:rsid w:val="00710AB0"/>
    <w:rsid w:val="00710AEF"/>
    <w:rsid w:val="00713DA7"/>
    <w:rsid w:val="00714283"/>
    <w:rsid w:val="00714841"/>
    <w:rsid w:val="00716699"/>
    <w:rsid w:val="007200AC"/>
    <w:rsid w:val="00720441"/>
    <w:rsid w:val="007248FD"/>
    <w:rsid w:val="00725A8D"/>
    <w:rsid w:val="00725EAA"/>
    <w:rsid w:val="007260A9"/>
    <w:rsid w:val="0072648F"/>
    <w:rsid w:val="00727E86"/>
    <w:rsid w:val="00731BC7"/>
    <w:rsid w:val="007320FF"/>
    <w:rsid w:val="0073351A"/>
    <w:rsid w:val="00733979"/>
    <w:rsid w:val="007364AB"/>
    <w:rsid w:val="007378FE"/>
    <w:rsid w:val="00742531"/>
    <w:rsid w:val="007443A9"/>
    <w:rsid w:val="00744FCA"/>
    <w:rsid w:val="007464B7"/>
    <w:rsid w:val="0074709B"/>
    <w:rsid w:val="007501F6"/>
    <w:rsid w:val="0075090A"/>
    <w:rsid w:val="00753680"/>
    <w:rsid w:val="00754DF1"/>
    <w:rsid w:val="007553DA"/>
    <w:rsid w:val="00755408"/>
    <w:rsid w:val="00760358"/>
    <w:rsid w:val="00760E61"/>
    <w:rsid w:val="0076101E"/>
    <w:rsid w:val="0076149D"/>
    <w:rsid w:val="00761B3F"/>
    <w:rsid w:val="00761B57"/>
    <w:rsid w:val="00765FBE"/>
    <w:rsid w:val="00766C59"/>
    <w:rsid w:val="00771824"/>
    <w:rsid w:val="0077525F"/>
    <w:rsid w:val="00777674"/>
    <w:rsid w:val="00783EC0"/>
    <w:rsid w:val="00784B57"/>
    <w:rsid w:val="00786072"/>
    <w:rsid w:val="00792721"/>
    <w:rsid w:val="007A117A"/>
    <w:rsid w:val="007A15AC"/>
    <w:rsid w:val="007A18C3"/>
    <w:rsid w:val="007A1E7B"/>
    <w:rsid w:val="007A22EB"/>
    <w:rsid w:val="007A28D5"/>
    <w:rsid w:val="007A2E1C"/>
    <w:rsid w:val="007A4B94"/>
    <w:rsid w:val="007A5BFC"/>
    <w:rsid w:val="007A6331"/>
    <w:rsid w:val="007A7F20"/>
    <w:rsid w:val="007A7FEE"/>
    <w:rsid w:val="007B33AF"/>
    <w:rsid w:val="007B388A"/>
    <w:rsid w:val="007B6C41"/>
    <w:rsid w:val="007B7BF8"/>
    <w:rsid w:val="007C0A66"/>
    <w:rsid w:val="007C0D1F"/>
    <w:rsid w:val="007C104C"/>
    <w:rsid w:val="007C1C46"/>
    <w:rsid w:val="007C5A94"/>
    <w:rsid w:val="007C71AB"/>
    <w:rsid w:val="007C7EE4"/>
    <w:rsid w:val="007D31AB"/>
    <w:rsid w:val="007D3DD6"/>
    <w:rsid w:val="007D4971"/>
    <w:rsid w:val="007E1386"/>
    <w:rsid w:val="007E1D6F"/>
    <w:rsid w:val="007E42B4"/>
    <w:rsid w:val="007F1C03"/>
    <w:rsid w:val="007F272E"/>
    <w:rsid w:val="007F3688"/>
    <w:rsid w:val="007F37E4"/>
    <w:rsid w:val="007F3E8E"/>
    <w:rsid w:val="007F4528"/>
    <w:rsid w:val="007F645A"/>
    <w:rsid w:val="00800A83"/>
    <w:rsid w:val="00802AD9"/>
    <w:rsid w:val="00803646"/>
    <w:rsid w:val="008044B4"/>
    <w:rsid w:val="00804B8A"/>
    <w:rsid w:val="00806484"/>
    <w:rsid w:val="008074BB"/>
    <w:rsid w:val="00810145"/>
    <w:rsid w:val="00810671"/>
    <w:rsid w:val="00817296"/>
    <w:rsid w:val="008172B1"/>
    <w:rsid w:val="0082185E"/>
    <w:rsid w:val="008230CD"/>
    <w:rsid w:val="00823BB7"/>
    <w:rsid w:val="00824C77"/>
    <w:rsid w:val="00824D7E"/>
    <w:rsid w:val="00826060"/>
    <w:rsid w:val="00826696"/>
    <w:rsid w:val="00827895"/>
    <w:rsid w:val="0083196A"/>
    <w:rsid w:val="00833B95"/>
    <w:rsid w:val="00835857"/>
    <w:rsid w:val="00837224"/>
    <w:rsid w:val="00837509"/>
    <w:rsid w:val="00837693"/>
    <w:rsid w:val="00837FB9"/>
    <w:rsid w:val="0084038D"/>
    <w:rsid w:val="00841DB3"/>
    <w:rsid w:val="00841DD1"/>
    <w:rsid w:val="00842CEE"/>
    <w:rsid w:val="00846C10"/>
    <w:rsid w:val="008475A3"/>
    <w:rsid w:val="00851371"/>
    <w:rsid w:val="008521B8"/>
    <w:rsid w:val="00855F00"/>
    <w:rsid w:val="008579B0"/>
    <w:rsid w:val="00857B11"/>
    <w:rsid w:val="00860C95"/>
    <w:rsid w:val="00861BCB"/>
    <w:rsid w:val="0086272E"/>
    <w:rsid w:val="0086331E"/>
    <w:rsid w:val="0086442E"/>
    <w:rsid w:val="0086598B"/>
    <w:rsid w:val="008666D3"/>
    <w:rsid w:val="00867F07"/>
    <w:rsid w:val="00870FC9"/>
    <w:rsid w:val="00871BDD"/>
    <w:rsid w:val="00873EA2"/>
    <w:rsid w:val="008752B9"/>
    <w:rsid w:val="008779CE"/>
    <w:rsid w:val="008829C5"/>
    <w:rsid w:val="00883BDA"/>
    <w:rsid w:val="00883CB2"/>
    <w:rsid w:val="008845ED"/>
    <w:rsid w:val="00885414"/>
    <w:rsid w:val="00886A4D"/>
    <w:rsid w:val="008870F1"/>
    <w:rsid w:val="00887E6A"/>
    <w:rsid w:val="00891576"/>
    <w:rsid w:val="0089225B"/>
    <w:rsid w:val="0089322F"/>
    <w:rsid w:val="008938C0"/>
    <w:rsid w:val="0089456F"/>
    <w:rsid w:val="008965D9"/>
    <w:rsid w:val="008A0763"/>
    <w:rsid w:val="008A271C"/>
    <w:rsid w:val="008A38F4"/>
    <w:rsid w:val="008A49F0"/>
    <w:rsid w:val="008A4B3D"/>
    <w:rsid w:val="008A4D22"/>
    <w:rsid w:val="008A504E"/>
    <w:rsid w:val="008A5ED1"/>
    <w:rsid w:val="008A7647"/>
    <w:rsid w:val="008B2E76"/>
    <w:rsid w:val="008B3D42"/>
    <w:rsid w:val="008B7932"/>
    <w:rsid w:val="008B7CDC"/>
    <w:rsid w:val="008C0590"/>
    <w:rsid w:val="008C09F0"/>
    <w:rsid w:val="008C19C3"/>
    <w:rsid w:val="008C2114"/>
    <w:rsid w:val="008C25C4"/>
    <w:rsid w:val="008C314F"/>
    <w:rsid w:val="008C370F"/>
    <w:rsid w:val="008C58DC"/>
    <w:rsid w:val="008C65A5"/>
    <w:rsid w:val="008C7D97"/>
    <w:rsid w:val="008D0181"/>
    <w:rsid w:val="008D0247"/>
    <w:rsid w:val="008D0323"/>
    <w:rsid w:val="008D03A0"/>
    <w:rsid w:val="008D2910"/>
    <w:rsid w:val="008D32A7"/>
    <w:rsid w:val="008D34E7"/>
    <w:rsid w:val="008D5A44"/>
    <w:rsid w:val="008D5E76"/>
    <w:rsid w:val="008D708E"/>
    <w:rsid w:val="008D7F62"/>
    <w:rsid w:val="008E0A62"/>
    <w:rsid w:val="008E0A73"/>
    <w:rsid w:val="008E115E"/>
    <w:rsid w:val="008E1F33"/>
    <w:rsid w:val="008E3F46"/>
    <w:rsid w:val="008E5684"/>
    <w:rsid w:val="008E597F"/>
    <w:rsid w:val="008E7EFB"/>
    <w:rsid w:val="008F089F"/>
    <w:rsid w:val="008F0C18"/>
    <w:rsid w:val="008F1529"/>
    <w:rsid w:val="008F2CE1"/>
    <w:rsid w:val="008F3067"/>
    <w:rsid w:val="00902813"/>
    <w:rsid w:val="00902C11"/>
    <w:rsid w:val="00903614"/>
    <w:rsid w:val="00903976"/>
    <w:rsid w:val="009115E5"/>
    <w:rsid w:val="00912014"/>
    <w:rsid w:val="00912231"/>
    <w:rsid w:val="00914319"/>
    <w:rsid w:val="00915415"/>
    <w:rsid w:val="00916D71"/>
    <w:rsid w:val="00920ECE"/>
    <w:rsid w:val="0092129E"/>
    <w:rsid w:val="0092191C"/>
    <w:rsid w:val="00921D48"/>
    <w:rsid w:val="00922935"/>
    <w:rsid w:val="009240DC"/>
    <w:rsid w:val="00924B38"/>
    <w:rsid w:val="00930185"/>
    <w:rsid w:val="00931CAC"/>
    <w:rsid w:val="009321FC"/>
    <w:rsid w:val="0093352F"/>
    <w:rsid w:val="0093493F"/>
    <w:rsid w:val="00934983"/>
    <w:rsid w:val="00935F59"/>
    <w:rsid w:val="00936CDF"/>
    <w:rsid w:val="00936E1E"/>
    <w:rsid w:val="00936EB1"/>
    <w:rsid w:val="00937018"/>
    <w:rsid w:val="009371C5"/>
    <w:rsid w:val="0093732C"/>
    <w:rsid w:val="00940484"/>
    <w:rsid w:val="00941F7E"/>
    <w:rsid w:val="0094318F"/>
    <w:rsid w:val="009436D9"/>
    <w:rsid w:val="00944CCC"/>
    <w:rsid w:val="009471C9"/>
    <w:rsid w:val="00952F1D"/>
    <w:rsid w:val="00953D21"/>
    <w:rsid w:val="0095537A"/>
    <w:rsid w:val="009555D1"/>
    <w:rsid w:val="00957A5E"/>
    <w:rsid w:val="00960163"/>
    <w:rsid w:val="00960BD1"/>
    <w:rsid w:val="00960BDC"/>
    <w:rsid w:val="00961803"/>
    <w:rsid w:val="00962D5D"/>
    <w:rsid w:val="00963263"/>
    <w:rsid w:val="0096399F"/>
    <w:rsid w:val="00963A41"/>
    <w:rsid w:val="009646E7"/>
    <w:rsid w:val="00964FAB"/>
    <w:rsid w:val="00965021"/>
    <w:rsid w:val="009657A3"/>
    <w:rsid w:val="0096710B"/>
    <w:rsid w:val="00973FA0"/>
    <w:rsid w:val="009745B3"/>
    <w:rsid w:val="00974EAE"/>
    <w:rsid w:val="00976F81"/>
    <w:rsid w:val="00977FBC"/>
    <w:rsid w:val="00981C9E"/>
    <w:rsid w:val="00982274"/>
    <w:rsid w:val="00983587"/>
    <w:rsid w:val="00985D7E"/>
    <w:rsid w:val="00986F90"/>
    <w:rsid w:val="009902BC"/>
    <w:rsid w:val="009925AD"/>
    <w:rsid w:val="00994007"/>
    <w:rsid w:val="009943A9"/>
    <w:rsid w:val="00995610"/>
    <w:rsid w:val="00995776"/>
    <w:rsid w:val="009A0181"/>
    <w:rsid w:val="009A0D91"/>
    <w:rsid w:val="009A1934"/>
    <w:rsid w:val="009A4204"/>
    <w:rsid w:val="009A50DE"/>
    <w:rsid w:val="009B0757"/>
    <w:rsid w:val="009B119E"/>
    <w:rsid w:val="009B1690"/>
    <w:rsid w:val="009B1BDD"/>
    <w:rsid w:val="009B3780"/>
    <w:rsid w:val="009B47D4"/>
    <w:rsid w:val="009B63E0"/>
    <w:rsid w:val="009B6EC2"/>
    <w:rsid w:val="009C0165"/>
    <w:rsid w:val="009C2D51"/>
    <w:rsid w:val="009D0A33"/>
    <w:rsid w:val="009D1096"/>
    <w:rsid w:val="009D222A"/>
    <w:rsid w:val="009D236F"/>
    <w:rsid w:val="009D2682"/>
    <w:rsid w:val="009D42D3"/>
    <w:rsid w:val="009D439A"/>
    <w:rsid w:val="009D471E"/>
    <w:rsid w:val="009D484E"/>
    <w:rsid w:val="009D52EA"/>
    <w:rsid w:val="009D63C2"/>
    <w:rsid w:val="009D7183"/>
    <w:rsid w:val="009E030B"/>
    <w:rsid w:val="009E20F8"/>
    <w:rsid w:val="009E3F8B"/>
    <w:rsid w:val="009E42D9"/>
    <w:rsid w:val="009E4F44"/>
    <w:rsid w:val="009E5246"/>
    <w:rsid w:val="009F0EF8"/>
    <w:rsid w:val="009F13D0"/>
    <w:rsid w:val="009F3A81"/>
    <w:rsid w:val="009F5E32"/>
    <w:rsid w:val="009F6B8F"/>
    <w:rsid w:val="009F6E4A"/>
    <w:rsid w:val="009F7CEC"/>
    <w:rsid w:val="00A01A14"/>
    <w:rsid w:val="00A02EA0"/>
    <w:rsid w:val="00A0482A"/>
    <w:rsid w:val="00A07AD2"/>
    <w:rsid w:val="00A07AE5"/>
    <w:rsid w:val="00A11D75"/>
    <w:rsid w:val="00A12CE3"/>
    <w:rsid w:val="00A14FF2"/>
    <w:rsid w:val="00A15B5B"/>
    <w:rsid w:val="00A16BB3"/>
    <w:rsid w:val="00A16BD7"/>
    <w:rsid w:val="00A209E7"/>
    <w:rsid w:val="00A2117C"/>
    <w:rsid w:val="00A23371"/>
    <w:rsid w:val="00A248A2"/>
    <w:rsid w:val="00A2586D"/>
    <w:rsid w:val="00A26ABF"/>
    <w:rsid w:val="00A3194B"/>
    <w:rsid w:val="00A32C10"/>
    <w:rsid w:val="00A339CD"/>
    <w:rsid w:val="00A33FD9"/>
    <w:rsid w:val="00A3658F"/>
    <w:rsid w:val="00A372CE"/>
    <w:rsid w:val="00A374BD"/>
    <w:rsid w:val="00A41324"/>
    <w:rsid w:val="00A4181B"/>
    <w:rsid w:val="00A41BEA"/>
    <w:rsid w:val="00A44A7A"/>
    <w:rsid w:val="00A461B2"/>
    <w:rsid w:val="00A467A3"/>
    <w:rsid w:val="00A46F93"/>
    <w:rsid w:val="00A47627"/>
    <w:rsid w:val="00A4767E"/>
    <w:rsid w:val="00A47C0D"/>
    <w:rsid w:val="00A511F7"/>
    <w:rsid w:val="00A5269A"/>
    <w:rsid w:val="00A559AC"/>
    <w:rsid w:val="00A55CE4"/>
    <w:rsid w:val="00A56015"/>
    <w:rsid w:val="00A56DC9"/>
    <w:rsid w:val="00A56DEC"/>
    <w:rsid w:val="00A573D3"/>
    <w:rsid w:val="00A6037D"/>
    <w:rsid w:val="00A61BEC"/>
    <w:rsid w:val="00A6240A"/>
    <w:rsid w:val="00A63BCA"/>
    <w:rsid w:val="00A650EB"/>
    <w:rsid w:val="00A65E0B"/>
    <w:rsid w:val="00A70863"/>
    <w:rsid w:val="00A70AC5"/>
    <w:rsid w:val="00A70E0A"/>
    <w:rsid w:val="00A7266B"/>
    <w:rsid w:val="00A745C2"/>
    <w:rsid w:val="00A80FD3"/>
    <w:rsid w:val="00A8208D"/>
    <w:rsid w:val="00A83413"/>
    <w:rsid w:val="00A83B08"/>
    <w:rsid w:val="00A83D29"/>
    <w:rsid w:val="00A83FE9"/>
    <w:rsid w:val="00A840E7"/>
    <w:rsid w:val="00A84B47"/>
    <w:rsid w:val="00A85FC0"/>
    <w:rsid w:val="00A8668A"/>
    <w:rsid w:val="00A87DE4"/>
    <w:rsid w:val="00A9001F"/>
    <w:rsid w:val="00A906EF"/>
    <w:rsid w:val="00A92116"/>
    <w:rsid w:val="00A9309B"/>
    <w:rsid w:val="00A9342F"/>
    <w:rsid w:val="00A93861"/>
    <w:rsid w:val="00A94AD0"/>
    <w:rsid w:val="00A969BD"/>
    <w:rsid w:val="00AA131E"/>
    <w:rsid w:val="00AA1A5E"/>
    <w:rsid w:val="00AA2BA8"/>
    <w:rsid w:val="00AA3E58"/>
    <w:rsid w:val="00AA3E9E"/>
    <w:rsid w:val="00AA4E3A"/>
    <w:rsid w:val="00AA5125"/>
    <w:rsid w:val="00AA5699"/>
    <w:rsid w:val="00AA61CB"/>
    <w:rsid w:val="00AA63DC"/>
    <w:rsid w:val="00AA79A6"/>
    <w:rsid w:val="00AB0B50"/>
    <w:rsid w:val="00AB358C"/>
    <w:rsid w:val="00AB37C5"/>
    <w:rsid w:val="00AB5D28"/>
    <w:rsid w:val="00AB6A59"/>
    <w:rsid w:val="00AB6AD2"/>
    <w:rsid w:val="00AC0A7A"/>
    <w:rsid w:val="00AC2FA6"/>
    <w:rsid w:val="00AC64C3"/>
    <w:rsid w:val="00AD155E"/>
    <w:rsid w:val="00AD260A"/>
    <w:rsid w:val="00AD402C"/>
    <w:rsid w:val="00AD5F08"/>
    <w:rsid w:val="00AD6033"/>
    <w:rsid w:val="00AD67A4"/>
    <w:rsid w:val="00AD6E5F"/>
    <w:rsid w:val="00AE2774"/>
    <w:rsid w:val="00AE2A63"/>
    <w:rsid w:val="00AE2B79"/>
    <w:rsid w:val="00AE315F"/>
    <w:rsid w:val="00AE41B2"/>
    <w:rsid w:val="00AE591D"/>
    <w:rsid w:val="00AE5E85"/>
    <w:rsid w:val="00AE5FD7"/>
    <w:rsid w:val="00AE6729"/>
    <w:rsid w:val="00AE6A04"/>
    <w:rsid w:val="00AE74C6"/>
    <w:rsid w:val="00AF0327"/>
    <w:rsid w:val="00AF0B3B"/>
    <w:rsid w:val="00AF2230"/>
    <w:rsid w:val="00AF3B1F"/>
    <w:rsid w:val="00AF3BCD"/>
    <w:rsid w:val="00AF3D85"/>
    <w:rsid w:val="00AF7A0B"/>
    <w:rsid w:val="00B0095E"/>
    <w:rsid w:val="00B00B58"/>
    <w:rsid w:val="00B035F3"/>
    <w:rsid w:val="00B042EE"/>
    <w:rsid w:val="00B07241"/>
    <w:rsid w:val="00B073B4"/>
    <w:rsid w:val="00B11C2F"/>
    <w:rsid w:val="00B123AF"/>
    <w:rsid w:val="00B1261A"/>
    <w:rsid w:val="00B14016"/>
    <w:rsid w:val="00B14C1F"/>
    <w:rsid w:val="00B14FEB"/>
    <w:rsid w:val="00B16555"/>
    <w:rsid w:val="00B1701E"/>
    <w:rsid w:val="00B17A65"/>
    <w:rsid w:val="00B21281"/>
    <w:rsid w:val="00B214BE"/>
    <w:rsid w:val="00B22E3A"/>
    <w:rsid w:val="00B2524F"/>
    <w:rsid w:val="00B25416"/>
    <w:rsid w:val="00B306A0"/>
    <w:rsid w:val="00B313C3"/>
    <w:rsid w:val="00B317C8"/>
    <w:rsid w:val="00B325C1"/>
    <w:rsid w:val="00B33B87"/>
    <w:rsid w:val="00B33D93"/>
    <w:rsid w:val="00B373A7"/>
    <w:rsid w:val="00B37777"/>
    <w:rsid w:val="00B4106E"/>
    <w:rsid w:val="00B425D3"/>
    <w:rsid w:val="00B42CC9"/>
    <w:rsid w:val="00B43695"/>
    <w:rsid w:val="00B47609"/>
    <w:rsid w:val="00B5061F"/>
    <w:rsid w:val="00B53A85"/>
    <w:rsid w:val="00B559D2"/>
    <w:rsid w:val="00B568DD"/>
    <w:rsid w:val="00B57339"/>
    <w:rsid w:val="00B6275C"/>
    <w:rsid w:val="00B63E4D"/>
    <w:rsid w:val="00B63EAA"/>
    <w:rsid w:val="00B64B20"/>
    <w:rsid w:val="00B662C6"/>
    <w:rsid w:val="00B6648B"/>
    <w:rsid w:val="00B67F85"/>
    <w:rsid w:val="00B70257"/>
    <w:rsid w:val="00B73786"/>
    <w:rsid w:val="00B75A69"/>
    <w:rsid w:val="00B768AC"/>
    <w:rsid w:val="00B77747"/>
    <w:rsid w:val="00B83905"/>
    <w:rsid w:val="00B83D0C"/>
    <w:rsid w:val="00B83D26"/>
    <w:rsid w:val="00B84498"/>
    <w:rsid w:val="00B862A5"/>
    <w:rsid w:val="00B873B4"/>
    <w:rsid w:val="00B90D5D"/>
    <w:rsid w:val="00B90ED5"/>
    <w:rsid w:val="00B93A65"/>
    <w:rsid w:val="00B95476"/>
    <w:rsid w:val="00B975DD"/>
    <w:rsid w:val="00BA0AE6"/>
    <w:rsid w:val="00BA274F"/>
    <w:rsid w:val="00BA338D"/>
    <w:rsid w:val="00BA5258"/>
    <w:rsid w:val="00BA5447"/>
    <w:rsid w:val="00BA5E94"/>
    <w:rsid w:val="00BB0944"/>
    <w:rsid w:val="00BB0FA2"/>
    <w:rsid w:val="00BB22E3"/>
    <w:rsid w:val="00BB2E23"/>
    <w:rsid w:val="00BB30A5"/>
    <w:rsid w:val="00BB3D2E"/>
    <w:rsid w:val="00BB7D72"/>
    <w:rsid w:val="00BB7E45"/>
    <w:rsid w:val="00BB7FE7"/>
    <w:rsid w:val="00BC1FED"/>
    <w:rsid w:val="00BC31CD"/>
    <w:rsid w:val="00BC481A"/>
    <w:rsid w:val="00BD15AA"/>
    <w:rsid w:val="00BD30EF"/>
    <w:rsid w:val="00BD554F"/>
    <w:rsid w:val="00BD5A01"/>
    <w:rsid w:val="00BD74A9"/>
    <w:rsid w:val="00BD74CD"/>
    <w:rsid w:val="00BD79B9"/>
    <w:rsid w:val="00BE0079"/>
    <w:rsid w:val="00BE010E"/>
    <w:rsid w:val="00BE0675"/>
    <w:rsid w:val="00BE1B62"/>
    <w:rsid w:val="00BE3884"/>
    <w:rsid w:val="00BE3FA8"/>
    <w:rsid w:val="00BE45AD"/>
    <w:rsid w:val="00BE4A9F"/>
    <w:rsid w:val="00BE4CBE"/>
    <w:rsid w:val="00BF1181"/>
    <w:rsid w:val="00BF185B"/>
    <w:rsid w:val="00BF2259"/>
    <w:rsid w:val="00BF3E1B"/>
    <w:rsid w:val="00BF43BC"/>
    <w:rsid w:val="00BF539D"/>
    <w:rsid w:val="00BF6BA5"/>
    <w:rsid w:val="00BF6BAC"/>
    <w:rsid w:val="00C01426"/>
    <w:rsid w:val="00C01781"/>
    <w:rsid w:val="00C01B71"/>
    <w:rsid w:val="00C02A73"/>
    <w:rsid w:val="00C04218"/>
    <w:rsid w:val="00C04C7B"/>
    <w:rsid w:val="00C07238"/>
    <w:rsid w:val="00C07507"/>
    <w:rsid w:val="00C10D10"/>
    <w:rsid w:val="00C10F23"/>
    <w:rsid w:val="00C12005"/>
    <w:rsid w:val="00C1254F"/>
    <w:rsid w:val="00C1559A"/>
    <w:rsid w:val="00C159A8"/>
    <w:rsid w:val="00C16EE6"/>
    <w:rsid w:val="00C17E63"/>
    <w:rsid w:val="00C212BD"/>
    <w:rsid w:val="00C21652"/>
    <w:rsid w:val="00C2283C"/>
    <w:rsid w:val="00C22F03"/>
    <w:rsid w:val="00C23CBD"/>
    <w:rsid w:val="00C244AE"/>
    <w:rsid w:val="00C25021"/>
    <w:rsid w:val="00C25E96"/>
    <w:rsid w:val="00C26A84"/>
    <w:rsid w:val="00C27DFE"/>
    <w:rsid w:val="00C31B23"/>
    <w:rsid w:val="00C33D5F"/>
    <w:rsid w:val="00C33E10"/>
    <w:rsid w:val="00C34373"/>
    <w:rsid w:val="00C34B23"/>
    <w:rsid w:val="00C350DA"/>
    <w:rsid w:val="00C359CC"/>
    <w:rsid w:val="00C36299"/>
    <w:rsid w:val="00C36360"/>
    <w:rsid w:val="00C368B6"/>
    <w:rsid w:val="00C3722B"/>
    <w:rsid w:val="00C40F0E"/>
    <w:rsid w:val="00C40FFB"/>
    <w:rsid w:val="00C423EC"/>
    <w:rsid w:val="00C4330E"/>
    <w:rsid w:val="00C43D39"/>
    <w:rsid w:val="00C44175"/>
    <w:rsid w:val="00C442F0"/>
    <w:rsid w:val="00C446C5"/>
    <w:rsid w:val="00C51661"/>
    <w:rsid w:val="00C51A81"/>
    <w:rsid w:val="00C521C9"/>
    <w:rsid w:val="00C52608"/>
    <w:rsid w:val="00C53F4A"/>
    <w:rsid w:val="00C5486F"/>
    <w:rsid w:val="00C55927"/>
    <w:rsid w:val="00C55C2E"/>
    <w:rsid w:val="00C56DF3"/>
    <w:rsid w:val="00C60227"/>
    <w:rsid w:val="00C60933"/>
    <w:rsid w:val="00C60DE6"/>
    <w:rsid w:val="00C62693"/>
    <w:rsid w:val="00C63CAF"/>
    <w:rsid w:val="00C64394"/>
    <w:rsid w:val="00C64BF2"/>
    <w:rsid w:val="00C64FCD"/>
    <w:rsid w:val="00C6581B"/>
    <w:rsid w:val="00C6608E"/>
    <w:rsid w:val="00C67CD7"/>
    <w:rsid w:val="00C67D0B"/>
    <w:rsid w:val="00C702BB"/>
    <w:rsid w:val="00C70CD6"/>
    <w:rsid w:val="00C733B5"/>
    <w:rsid w:val="00C73DBA"/>
    <w:rsid w:val="00C747B1"/>
    <w:rsid w:val="00C755AA"/>
    <w:rsid w:val="00C758C4"/>
    <w:rsid w:val="00C76BAC"/>
    <w:rsid w:val="00C77E00"/>
    <w:rsid w:val="00C810DC"/>
    <w:rsid w:val="00C82A91"/>
    <w:rsid w:val="00C83099"/>
    <w:rsid w:val="00C83247"/>
    <w:rsid w:val="00C84514"/>
    <w:rsid w:val="00C847C0"/>
    <w:rsid w:val="00C867BA"/>
    <w:rsid w:val="00C9036F"/>
    <w:rsid w:val="00C90A04"/>
    <w:rsid w:val="00C91D6D"/>
    <w:rsid w:val="00C92E5C"/>
    <w:rsid w:val="00C935B5"/>
    <w:rsid w:val="00C94FB3"/>
    <w:rsid w:val="00C9793A"/>
    <w:rsid w:val="00CA0A1F"/>
    <w:rsid w:val="00CA11DD"/>
    <w:rsid w:val="00CA26C2"/>
    <w:rsid w:val="00CA2CA1"/>
    <w:rsid w:val="00CA3A4D"/>
    <w:rsid w:val="00CA506D"/>
    <w:rsid w:val="00CA67BC"/>
    <w:rsid w:val="00CB1903"/>
    <w:rsid w:val="00CB1E90"/>
    <w:rsid w:val="00CB3188"/>
    <w:rsid w:val="00CB3A2D"/>
    <w:rsid w:val="00CB3A39"/>
    <w:rsid w:val="00CB6AD9"/>
    <w:rsid w:val="00CB707F"/>
    <w:rsid w:val="00CC19AA"/>
    <w:rsid w:val="00CC41E2"/>
    <w:rsid w:val="00CC5DD1"/>
    <w:rsid w:val="00CC60BF"/>
    <w:rsid w:val="00CC6D31"/>
    <w:rsid w:val="00CC7C8C"/>
    <w:rsid w:val="00CD0230"/>
    <w:rsid w:val="00CD15DE"/>
    <w:rsid w:val="00CD2304"/>
    <w:rsid w:val="00CD3250"/>
    <w:rsid w:val="00CD3368"/>
    <w:rsid w:val="00CD3C12"/>
    <w:rsid w:val="00CD421B"/>
    <w:rsid w:val="00CD4603"/>
    <w:rsid w:val="00CD60E6"/>
    <w:rsid w:val="00CD6CD4"/>
    <w:rsid w:val="00CD6D31"/>
    <w:rsid w:val="00CD7A4E"/>
    <w:rsid w:val="00CD7EDB"/>
    <w:rsid w:val="00CE0131"/>
    <w:rsid w:val="00CE14E3"/>
    <w:rsid w:val="00CE30E2"/>
    <w:rsid w:val="00CE487A"/>
    <w:rsid w:val="00CE6066"/>
    <w:rsid w:val="00CE6262"/>
    <w:rsid w:val="00CE7FAB"/>
    <w:rsid w:val="00CF006A"/>
    <w:rsid w:val="00CF07D3"/>
    <w:rsid w:val="00CF4A52"/>
    <w:rsid w:val="00CF56AD"/>
    <w:rsid w:val="00CF7159"/>
    <w:rsid w:val="00D0009E"/>
    <w:rsid w:val="00D01827"/>
    <w:rsid w:val="00D01C1D"/>
    <w:rsid w:val="00D038C2"/>
    <w:rsid w:val="00D03BF3"/>
    <w:rsid w:val="00D049B7"/>
    <w:rsid w:val="00D04ABF"/>
    <w:rsid w:val="00D07D51"/>
    <w:rsid w:val="00D07F34"/>
    <w:rsid w:val="00D1076F"/>
    <w:rsid w:val="00D15DA2"/>
    <w:rsid w:val="00D16464"/>
    <w:rsid w:val="00D173D4"/>
    <w:rsid w:val="00D21582"/>
    <w:rsid w:val="00D21CBC"/>
    <w:rsid w:val="00D264AF"/>
    <w:rsid w:val="00D30D62"/>
    <w:rsid w:val="00D314DF"/>
    <w:rsid w:val="00D31590"/>
    <w:rsid w:val="00D31E14"/>
    <w:rsid w:val="00D323D9"/>
    <w:rsid w:val="00D33F42"/>
    <w:rsid w:val="00D36FAD"/>
    <w:rsid w:val="00D376C4"/>
    <w:rsid w:val="00D40064"/>
    <w:rsid w:val="00D42535"/>
    <w:rsid w:val="00D426B2"/>
    <w:rsid w:val="00D42E61"/>
    <w:rsid w:val="00D43DEB"/>
    <w:rsid w:val="00D46F83"/>
    <w:rsid w:val="00D470D8"/>
    <w:rsid w:val="00D479AF"/>
    <w:rsid w:val="00D47D7C"/>
    <w:rsid w:val="00D51547"/>
    <w:rsid w:val="00D518BC"/>
    <w:rsid w:val="00D51BE4"/>
    <w:rsid w:val="00D54864"/>
    <w:rsid w:val="00D55948"/>
    <w:rsid w:val="00D567E9"/>
    <w:rsid w:val="00D57B22"/>
    <w:rsid w:val="00D61E76"/>
    <w:rsid w:val="00D6340E"/>
    <w:rsid w:val="00D63884"/>
    <w:rsid w:val="00D64881"/>
    <w:rsid w:val="00D66420"/>
    <w:rsid w:val="00D70703"/>
    <w:rsid w:val="00D708CE"/>
    <w:rsid w:val="00D720BC"/>
    <w:rsid w:val="00D73A20"/>
    <w:rsid w:val="00D7447D"/>
    <w:rsid w:val="00D758B1"/>
    <w:rsid w:val="00D75EE5"/>
    <w:rsid w:val="00D75FD3"/>
    <w:rsid w:val="00D76701"/>
    <w:rsid w:val="00D80C3B"/>
    <w:rsid w:val="00D83073"/>
    <w:rsid w:val="00D83A21"/>
    <w:rsid w:val="00D83CCC"/>
    <w:rsid w:val="00D8546E"/>
    <w:rsid w:val="00D8592A"/>
    <w:rsid w:val="00D9047A"/>
    <w:rsid w:val="00D90A09"/>
    <w:rsid w:val="00D915F1"/>
    <w:rsid w:val="00D921A4"/>
    <w:rsid w:val="00D927FA"/>
    <w:rsid w:val="00D943B9"/>
    <w:rsid w:val="00D94FB6"/>
    <w:rsid w:val="00D96042"/>
    <w:rsid w:val="00DA4D17"/>
    <w:rsid w:val="00DA5A4A"/>
    <w:rsid w:val="00DA6ABC"/>
    <w:rsid w:val="00DA7311"/>
    <w:rsid w:val="00DA74EC"/>
    <w:rsid w:val="00DB1F34"/>
    <w:rsid w:val="00DB237E"/>
    <w:rsid w:val="00DB255E"/>
    <w:rsid w:val="00DB25A1"/>
    <w:rsid w:val="00DB50DD"/>
    <w:rsid w:val="00DB5AAF"/>
    <w:rsid w:val="00DB6584"/>
    <w:rsid w:val="00DB731B"/>
    <w:rsid w:val="00DC0085"/>
    <w:rsid w:val="00DC0491"/>
    <w:rsid w:val="00DC08E3"/>
    <w:rsid w:val="00DC1AC0"/>
    <w:rsid w:val="00DC2A0C"/>
    <w:rsid w:val="00DC2C25"/>
    <w:rsid w:val="00DD0798"/>
    <w:rsid w:val="00DD1D4D"/>
    <w:rsid w:val="00DD26CE"/>
    <w:rsid w:val="00DD2FD3"/>
    <w:rsid w:val="00DD4C4B"/>
    <w:rsid w:val="00DD6C41"/>
    <w:rsid w:val="00DE0318"/>
    <w:rsid w:val="00DE0610"/>
    <w:rsid w:val="00DE367B"/>
    <w:rsid w:val="00DE3A91"/>
    <w:rsid w:val="00DE3E3F"/>
    <w:rsid w:val="00DE41B8"/>
    <w:rsid w:val="00DE65B6"/>
    <w:rsid w:val="00DE6C04"/>
    <w:rsid w:val="00DE6F49"/>
    <w:rsid w:val="00DE7A6B"/>
    <w:rsid w:val="00DF0D7B"/>
    <w:rsid w:val="00DF18FF"/>
    <w:rsid w:val="00DF2573"/>
    <w:rsid w:val="00DF65BF"/>
    <w:rsid w:val="00DF6D24"/>
    <w:rsid w:val="00E00509"/>
    <w:rsid w:val="00E01143"/>
    <w:rsid w:val="00E02EC2"/>
    <w:rsid w:val="00E02FB4"/>
    <w:rsid w:val="00E034A3"/>
    <w:rsid w:val="00E0401E"/>
    <w:rsid w:val="00E07229"/>
    <w:rsid w:val="00E07703"/>
    <w:rsid w:val="00E07EC4"/>
    <w:rsid w:val="00E12A25"/>
    <w:rsid w:val="00E12FA4"/>
    <w:rsid w:val="00E13FDF"/>
    <w:rsid w:val="00E144C1"/>
    <w:rsid w:val="00E15155"/>
    <w:rsid w:val="00E1596D"/>
    <w:rsid w:val="00E17098"/>
    <w:rsid w:val="00E17ED5"/>
    <w:rsid w:val="00E17F44"/>
    <w:rsid w:val="00E201F1"/>
    <w:rsid w:val="00E2137A"/>
    <w:rsid w:val="00E21A47"/>
    <w:rsid w:val="00E225FC"/>
    <w:rsid w:val="00E22EF6"/>
    <w:rsid w:val="00E24492"/>
    <w:rsid w:val="00E24F6D"/>
    <w:rsid w:val="00E25BCC"/>
    <w:rsid w:val="00E2679E"/>
    <w:rsid w:val="00E267F1"/>
    <w:rsid w:val="00E27C91"/>
    <w:rsid w:val="00E31223"/>
    <w:rsid w:val="00E3186B"/>
    <w:rsid w:val="00E3203C"/>
    <w:rsid w:val="00E36B02"/>
    <w:rsid w:val="00E40D17"/>
    <w:rsid w:val="00E412EE"/>
    <w:rsid w:val="00E422AF"/>
    <w:rsid w:val="00E424A9"/>
    <w:rsid w:val="00E44CEE"/>
    <w:rsid w:val="00E452C3"/>
    <w:rsid w:val="00E474CC"/>
    <w:rsid w:val="00E5012A"/>
    <w:rsid w:val="00E50174"/>
    <w:rsid w:val="00E5123A"/>
    <w:rsid w:val="00E513A2"/>
    <w:rsid w:val="00E5263F"/>
    <w:rsid w:val="00E53B9A"/>
    <w:rsid w:val="00E55431"/>
    <w:rsid w:val="00E568C2"/>
    <w:rsid w:val="00E5747F"/>
    <w:rsid w:val="00E577A1"/>
    <w:rsid w:val="00E577F2"/>
    <w:rsid w:val="00E57E61"/>
    <w:rsid w:val="00E632F2"/>
    <w:rsid w:val="00E63ABB"/>
    <w:rsid w:val="00E64013"/>
    <w:rsid w:val="00E66D2B"/>
    <w:rsid w:val="00E66FAD"/>
    <w:rsid w:val="00E7062F"/>
    <w:rsid w:val="00E7218B"/>
    <w:rsid w:val="00E72431"/>
    <w:rsid w:val="00E7295F"/>
    <w:rsid w:val="00E73C5E"/>
    <w:rsid w:val="00E76681"/>
    <w:rsid w:val="00E77C44"/>
    <w:rsid w:val="00E80280"/>
    <w:rsid w:val="00E805E6"/>
    <w:rsid w:val="00E80F54"/>
    <w:rsid w:val="00E90352"/>
    <w:rsid w:val="00E908DD"/>
    <w:rsid w:val="00E91889"/>
    <w:rsid w:val="00EA0BF1"/>
    <w:rsid w:val="00EA11A2"/>
    <w:rsid w:val="00EA1D72"/>
    <w:rsid w:val="00EA241C"/>
    <w:rsid w:val="00EA301D"/>
    <w:rsid w:val="00EA35A4"/>
    <w:rsid w:val="00EA5223"/>
    <w:rsid w:val="00EB12D8"/>
    <w:rsid w:val="00EB2DAF"/>
    <w:rsid w:val="00EB3EBA"/>
    <w:rsid w:val="00EB4BA6"/>
    <w:rsid w:val="00EB5811"/>
    <w:rsid w:val="00EB5DD6"/>
    <w:rsid w:val="00EB6D7F"/>
    <w:rsid w:val="00EB6FED"/>
    <w:rsid w:val="00EB7D97"/>
    <w:rsid w:val="00EC2891"/>
    <w:rsid w:val="00EC35F4"/>
    <w:rsid w:val="00EC368A"/>
    <w:rsid w:val="00EC63FB"/>
    <w:rsid w:val="00EC70AE"/>
    <w:rsid w:val="00EC7FC2"/>
    <w:rsid w:val="00ED0C0C"/>
    <w:rsid w:val="00ED1358"/>
    <w:rsid w:val="00ED1E1A"/>
    <w:rsid w:val="00ED2092"/>
    <w:rsid w:val="00ED24BB"/>
    <w:rsid w:val="00ED2742"/>
    <w:rsid w:val="00ED2B47"/>
    <w:rsid w:val="00ED332F"/>
    <w:rsid w:val="00ED5BC4"/>
    <w:rsid w:val="00EE0B1C"/>
    <w:rsid w:val="00EE2AE3"/>
    <w:rsid w:val="00EE2E39"/>
    <w:rsid w:val="00EE2EC2"/>
    <w:rsid w:val="00EE3029"/>
    <w:rsid w:val="00EE4CF9"/>
    <w:rsid w:val="00EE615C"/>
    <w:rsid w:val="00EE6CE8"/>
    <w:rsid w:val="00EF05FE"/>
    <w:rsid w:val="00EF110E"/>
    <w:rsid w:val="00EF1551"/>
    <w:rsid w:val="00EF1D8A"/>
    <w:rsid w:val="00EF3ED6"/>
    <w:rsid w:val="00EF48A7"/>
    <w:rsid w:val="00EF4CFD"/>
    <w:rsid w:val="00EF59A5"/>
    <w:rsid w:val="00EF5D47"/>
    <w:rsid w:val="00EF780B"/>
    <w:rsid w:val="00F0194D"/>
    <w:rsid w:val="00F03B51"/>
    <w:rsid w:val="00F04866"/>
    <w:rsid w:val="00F05B7E"/>
    <w:rsid w:val="00F06936"/>
    <w:rsid w:val="00F069F4"/>
    <w:rsid w:val="00F11289"/>
    <w:rsid w:val="00F11575"/>
    <w:rsid w:val="00F11E2D"/>
    <w:rsid w:val="00F13DB0"/>
    <w:rsid w:val="00F157FB"/>
    <w:rsid w:val="00F159AD"/>
    <w:rsid w:val="00F15DF2"/>
    <w:rsid w:val="00F15E05"/>
    <w:rsid w:val="00F17D98"/>
    <w:rsid w:val="00F20220"/>
    <w:rsid w:val="00F22BC1"/>
    <w:rsid w:val="00F25DAD"/>
    <w:rsid w:val="00F27028"/>
    <w:rsid w:val="00F3049E"/>
    <w:rsid w:val="00F308AC"/>
    <w:rsid w:val="00F30B97"/>
    <w:rsid w:val="00F30F87"/>
    <w:rsid w:val="00F31383"/>
    <w:rsid w:val="00F34D26"/>
    <w:rsid w:val="00F36A0B"/>
    <w:rsid w:val="00F36E4B"/>
    <w:rsid w:val="00F376F3"/>
    <w:rsid w:val="00F4050E"/>
    <w:rsid w:val="00F41894"/>
    <w:rsid w:val="00F424A2"/>
    <w:rsid w:val="00F4505F"/>
    <w:rsid w:val="00F46C1F"/>
    <w:rsid w:val="00F534FB"/>
    <w:rsid w:val="00F55DF0"/>
    <w:rsid w:val="00F57AFA"/>
    <w:rsid w:val="00F57DCC"/>
    <w:rsid w:val="00F610F2"/>
    <w:rsid w:val="00F636B3"/>
    <w:rsid w:val="00F65AC4"/>
    <w:rsid w:val="00F661AA"/>
    <w:rsid w:val="00F66383"/>
    <w:rsid w:val="00F66BBB"/>
    <w:rsid w:val="00F70B5E"/>
    <w:rsid w:val="00F73D1D"/>
    <w:rsid w:val="00F7504A"/>
    <w:rsid w:val="00F751AD"/>
    <w:rsid w:val="00F7639E"/>
    <w:rsid w:val="00F77800"/>
    <w:rsid w:val="00F808F7"/>
    <w:rsid w:val="00F81EBB"/>
    <w:rsid w:val="00F82D83"/>
    <w:rsid w:val="00F85614"/>
    <w:rsid w:val="00F85760"/>
    <w:rsid w:val="00F86827"/>
    <w:rsid w:val="00F8760E"/>
    <w:rsid w:val="00F90B16"/>
    <w:rsid w:val="00F933E5"/>
    <w:rsid w:val="00F93947"/>
    <w:rsid w:val="00F93AA9"/>
    <w:rsid w:val="00F9548C"/>
    <w:rsid w:val="00FA13CA"/>
    <w:rsid w:val="00FA684C"/>
    <w:rsid w:val="00FA6AAB"/>
    <w:rsid w:val="00FA7E97"/>
    <w:rsid w:val="00FB0D14"/>
    <w:rsid w:val="00FB0F96"/>
    <w:rsid w:val="00FB2AC8"/>
    <w:rsid w:val="00FB6C24"/>
    <w:rsid w:val="00FB7296"/>
    <w:rsid w:val="00FB7A9A"/>
    <w:rsid w:val="00FC0073"/>
    <w:rsid w:val="00FC1EBA"/>
    <w:rsid w:val="00FC261E"/>
    <w:rsid w:val="00FC34E9"/>
    <w:rsid w:val="00FC4334"/>
    <w:rsid w:val="00FC55F1"/>
    <w:rsid w:val="00FC6B0B"/>
    <w:rsid w:val="00FD0424"/>
    <w:rsid w:val="00FD063A"/>
    <w:rsid w:val="00FD0DBE"/>
    <w:rsid w:val="00FD1093"/>
    <w:rsid w:val="00FD1484"/>
    <w:rsid w:val="00FD1872"/>
    <w:rsid w:val="00FD3151"/>
    <w:rsid w:val="00FE02A9"/>
    <w:rsid w:val="00FE0AA9"/>
    <w:rsid w:val="00FE22C3"/>
    <w:rsid w:val="00FE2B26"/>
    <w:rsid w:val="00FE308E"/>
    <w:rsid w:val="00FE3A83"/>
    <w:rsid w:val="00FE492A"/>
    <w:rsid w:val="00FE4C5A"/>
    <w:rsid w:val="00FE5090"/>
    <w:rsid w:val="00FE605B"/>
    <w:rsid w:val="00FF3550"/>
    <w:rsid w:val="00FF3CE8"/>
    <w:rsid w:val="00FF3EE8"/>
    <w:rsid w:val="00FF583B"/>
    <w:rsid w:val="00FF5E14"/>
    <w:rsid w:val="00FF64A7"/>
    <w:rsid w:val="00FF71CE"/>
    <w:rsid w:val="00FF7C7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7317C"/>
  <w15:chartTrackingRefBased/>
  <w15:docId w15:val="{AAF61645-2023-45BE-88C6-6B5F5C45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0A62"/>
    <w:pPr>
      <w:keepNext/>
      <w:keepLines/>
      <w:pageBreakBefore/>
      <w:numPr>
        <w:numId w:val="17"/>
      </w:numPr>
      <w:outlineLvl w:val="0"/>
    </w:pPr>
    <w:rPr>
      <w:rFonts w:eastAsiaTheme="majorEastAsia" w:cstheme="minorHAnsi"/>
      <w:b/>
      <w:bCs/>
      <w:sz w:val="24"/>
      <w:szCs w:val="24"/>
    </w:rPr>
  </w:style>
  <w:style w:type="paragraph" w:styleId="Heading2">
    <w:name w:val="heading 2"/>
    <w:basedOn w:val="Normal"/>
    <w:next w:val="Normal"/>
    <w:link w:val="Heading2Char"/>
    <w:uiPriority w:val="9"/>
    <w:unhideWhenUsed/>
    <w:qFormat/>
    <w:rsid w:val="00AA3E58"/>
    <w:pPr>
      <w:keepNext/>
      <w:keepLines/>
      <w:numPr>
        <w:ilvl w:val="1"/>
        <w:numId w:val="17"/>
      </w:numPr>
      <w:spacing w:before="40" w:after="120"/>
      <w:outlineLvl w:val="1"/>
    </w:pPr>
    <w:rPr>
      <w:rFonts w:eastAsiaTheme="majorEastAsia" w:cstheme="minorHAnsi"/>
      <w:b/>
      <w:bCs/>
      <w:szCs w:val="24"/>
    </w:rPr>
  </w:style>
  <w:style w:type="paragraph" w:styleId="Heading3">
    <w:name w:val="heading 3"/>
    <w:basedOn w:val="Normal"/>
    <w:next w:val="Normal"/>
    <w:link w:val="Heading3Char"/>
    <w:uiPriority w:val="9"/>
    <w:unhideWhenUsed/>
    <w:qFormat/>
    <w:rsid w:val="00D04ABF"/>
    <w:pPr>
      <w:keepNext/>
      <w:numPr>
        <w:ilvl w:val="2"/>
        <w:numId w:val="17"/>
      </w:numPr>
      <w:spacing w:before="40"/>
      <w:outlineLvl w:val="2"/>
    </w:pPr>
    <w:rPr>
      <w:rFonts w:eastAsiaTheme="majorEastAsia" w:cstheme="minorHAnsi"/>
      <w:bCs/>
      <w:i/>
      <w:iCs/>
    </w:rPr>
  </w:style>
  <w:style w:type="paragraph" w:styleId="Heading4">
    <w:name w:val="heading 4"/>
    <w:basedOn w:val="Heading3"/>
    <w:next w:val="Normal"/>
    <w:link w:val="Heading4Char"/>
    <w:uiPriority w:val="9"/>
    <w:unhideWhenUsed/>
    <w:qFormat/>
    <w:rsid w:val="00032E34"/>
    <w:pPr>
      <w:numPr>
        <w:ilvl w:val="0"/>
        <w:numId w:val="0"/>
      </w:numPr>
      <w:spacing w:after="120"/>
      <w:ind w:left="1224" w:hanging="504"/>
      <w:jc w:val="both"/>
      <w:outlineLvl w:val="3"/>
    </w:pPr>
    <w:rPr>
      <w:b/>
      <w:bCs w:val="0"/>
    </w:rPr>
  </w:style>
  <w:style w:type="paragraph" w:styleId="Heading5">
    <w:name w:val="heading 5"/>
    <w:basedOn w:val="Subtitle"/>
    <w:next w:val="Normal"/>
    <w:link w:val="Heading5Char"/>
    <w:uiPriority w:val="9"/>
    <w:unhideWhenUsed/>
    <w:qFormat/>
    <w:rsid w:val="00DE41B8"/>
    <w:pPr>
      <w:outlineLvl w:val="4"/>
    </w:pPr>
  </w:style>
  <w:style w:type="paragraph" w:styleId="Heading6">
    <w:name w:val="heading 6"/>
    <w:basedOn w:val="Normal"/>
    <w:next w:val="Normal"/>
    <w:link w:val="Heading6Char"/>
    <w:uiPriority w:val="9"/>
    <w:semiHidden/>
    <w:unhideWhenUsed/>
    <w:qFormat/>
    <w:rsid w:val="00A374BD"/>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74BD"/>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74BD"/>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74BD"/>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648B"/>
    <w:pPr>
      <w:ind w:left="720"/>
      <w:contextualSpacing/>
    </w:pPr>
  </w:style>
  <w:style w:type="character" w:customStyle="1" w:styleId="Heading1Char">
    <w:name w:val="Heading 1 Char"/>
    <w:basedOn w:val="DefaultParagraphFont"/>
    <w:link w:val="Heading1"/>
    <w:uiPriority w:val="9"/>
    <w:rsid w:val="008E0A62"/>
    <w:rPr>
      <w:rFonts w:eastAsiaTheme="majorEastAsia" w:cstheme="minorHAnsi"/>
      <w:b/>
      <w:bCs/>
      <w:sz w:val="24"/>
      <w:szCs w:val="24"/>
    </w:rPr>
  </w:style>
  <w:style w:type="paragraph" w:styleId="Header">
    <w:name w:val="header"/>
    <w:basedOn w:val="Normal"/>
    <w:link w:val="HeaderChar"/>
    <w:uiPriority w:val="99"/>
    <w:unhideWhenUsed/>
    <w:rsid w:val="005B58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81D"/>
  </w:style>
  <w:style w:type="paragraph" w:styleId="Footer">
    <w:name w:val="footer"/>
    <w:basedOn w:val="Normal"/>
    <w:link w:val="FooterChar"/>
    <w:uiPriority w:val="99"/>
    <w:unhideWhenUsed/>
    <w:rsid w:val="005B58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81D"/>
  </w:style>
  <w:style w:type="character" w:styleId="PlaceholderText">
    <w:name w:val="Placeholder Text"/>
    <w:basedOn w:val="DefaultParagraphFont"/>
    <w:uiPriority w:val="99"/>
    <w:semiHidden/>
    <w:rsid w:val="00C60227"/>
    <w:rPr>
      <w:color w:val="808080"/>
    </w:rPr>
  </w:style>
  <w:style w:type="character" w:styleId="CommentReference">
    <w:name w:val="annotation reference"/>
    <w:basedOn w:val="DefaultParagraphFont"/>
    <w:uiPriority w:val="99"/>
    <w:semiHidden/>
    <w:unhideWhenUsed/>
    <w:rsid w:val="00DF2573"/>
    <w:rPr>
      <w:sz w:val="16"/>
      <w:szCs w:val="16"/>
    </w:rPr>
  </w:style>
  <w:style w:type="paragraph" w:styleId="CommentText">
    <w:name w:val="annotation text"/>
    <w:basedOn w:val="Normal"/>
    <w:link w:val="CommentTextChar"/>
    <w:uiPriority w:val="99"/>
    <w:unhideWhenUsed/>
    <w:rsid w:val="00DF2573"/>
    <w:pPr>
      <w:spacing w:line="240" w:lineRule="auto"/>
    </w:pPr>
    <w:rPr>
      <w:sz w:val="20"/>
      <w:szCs w:val="20"/>
    </w:rPr>
  </w:style>
  <w:style w:type="character" w:customStyle="1" w:styleId="CommentTextChar">
    <w:name w:val="Comment Text Char"/>
    <w:basedOn w:val="DefaultParagraphFont"/>
    <w:link w:val="CommentText"/>
    <w:uiPriority w:val="99"/>
    <w:rsid w:val="00DF2573"/>
    <w:rPr>
      <w:sz w:val="20"/>
      <w:szCs w:val="20"/>
    </w:rPr>
  </w:style>
  <w:style w:type="paragraph" w:styleId="CommentSubject">
    <w:name w:val="annotation subject"/>
    <w:basedOn w:val="CommentText"/>
    <w:next w:val="CommentText"/>
    <w:link w:val="CommentSubjectChar"/>
    <w:uiPriority w:val="99"/>
    <w:semiHidden/>
    <w:unhideWhenUsed/>
    <w:rsid w:val="00DF2573"/>
    <w:rPr>
      <w:b/>
      <w:bCs/>
    </w:rPr>
  </w:style>
  <w:style w:type="character" w:customStyle="1" w:styleId="CommentSubjectChar">
    <w:name w:val="Comment Subject Char"/>
    <w:basedOn w:val="CommentTextChar"/>
    <w:link w:val="CommentSubject"/>
    <w:uiPriority w:val="99"/>
    <w:semiHidden/>
    <w:rsid w:val="00DF2573"/>
    <w:rPr>
      <w:b/>
      <w:bCs/>
      <w:sz w:val="20"/>
      <w:szCs w:val="20"/>
    </w:rPr>
  </w:style>
  <w:style w:type="character" w:customStyle="1" w:styleId="Heading2Char">
    <w:name w:val="Heading 2 Char"/>
    <w:basedOn w:val="DefaultParagraphFont"/>
    <w:link w:val="Heading2"/>
    <w:uiPriority w:val="9"/>
    <w:rsid w:val="00AA3E58"/>
    <w:rPr>
      <w:rFonts w:eastAsiaTheme="majorEastAsia" w:cstheme="minorHAnsi"/>
      <w:b/>
      <w:bCs/>
      <w:szCs w:val="24"/>
    </w:rPr>
  </w:style>
  <w:style w:type="paragraph" w:customStyle="1" w:styleId="Heading2a">
    <w:name w:val="Heading 2a"/>
    <w:basedOn w:val="Heading2"/>
    <w:next w:val="Normal"/>
    <w:qFormat/>
    <w:rsid w:val="00D376C4"/>
    <w:pPr>
      <w:numPr>
        <w:ilvl w:val="0"/>
        <w:numId w:val="0"/>
      </w:numPr>
      <w:ind w:left="360" w:hanging="360"/>
    </w:pPr>
  </w:style>
  <w:style w:type="paragraph" w:customStyle="1" w:styleId="Pa8">
    <w:name w:val="Pa8"/>
    <w:basedOn w:val="Normal"/>
    <w:next w:val="Normal"/>
    <w:uiPriority w:val="99"/>
    <w:rsid w:val="00F93947"/>
    <w:pPr>
      <w:autoSpaceDE w:val="0"/>
      <w:autoSpaceDN w:val="0"/>
      <w:adjustRightInd w:val="0"/>
      <w:spacing w:after="0" w:line="181" w:lineRule="atLeast"/>
    </w:pPr>
    <w:rPr>
      <w:rFonts w:ascii="Frutiger 55 Roman" w:hAnsi="Frutiger 55 Roman"/>
      <w:sz w:val="24"/>
      <w:szCs w:val="24"/>
    </w:rPr>
  </w:style>
  <w:style w:type="character" w:customStyle="1" w:styleId="ui-provider">
    <w:name w:val="ui-provider"/>
    <w:basedOn w:val="DefaultParagraphFont"/>
    <w:rsid w:val="00EF5D47"/>
  </w:style>
  <w:style w:type="paragraph" w:styleId="FootnoteText">
    <w:name w:val="footnote text"/>
    <w:basedOn w:val="Normal"/>
    <w:link w:val="FootnoteTextChar"/>
    <w:uiPriority w:val="99"/>
    <w:semiHidden/>
    <w:unhideWhenUsed/>
    <w:rsid w:val="004801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01D7"/>
    <w:rPr>
      <w:sz w:val="20"/>
      <w:szCs w:val="20"/>
    </w:rPr>
  </w:style>
  <w:style w:type="character" w:styleId="FootnoteReference">
    <w:name w:val="footnote reference"/>
    <w:basedOn w:val="DefaultParagraphFont"/>
    <w:uiPriority w:val="99"/>
    <w:semiHidden/>
    <w:unhideWhenUsed/>
    <w:rsid w:val="004801D7"/>
    <w:rPr>
      <w:vertAlign w:val="superscript"/>
    </w:rPr>
  </w:style>
  <w:style w:type="character" w:customStyle="1" w:styleId="Heading3Char">
    <w:name w:val="Heading 3 Char"/>
    <w:basedOn w:val="DefaultParagraphFont"/>
    <w:link w:val="Heading3"/>
    <w:uiPriority w:val="9"/>
    <w:rsid w:val="009B119E"/>
    <w:rPr>
      <w:rFonts w:eastAsiaTheme="majorEastAsia" w:cstheme="minorHAnsi"/>
      <w:bCs/>
      <w:i/>
      <w:iCs/>
    </w:rPr>
  </w:style>
  <w:style w:type="character" w:customStyle="1" w:styleId="Heading4Char">
    <w:name w:val="Heading 4 Char"/>
    <w:basedOn w:val="DefaultParagraphFont"/>
    <w:link w:val="Heading4"/>
    <w:uiPriority w:val="9"/>
    <w:rsid w:val="00032E34"/>
    <w:rPr>
      <w:rFonts w:eastAsiaTheme="majorEastAsia" w:cstheme="minorHAnsi"/>
      <w:b/>
      <w:i/>
      <w:iCs/>
    </w:rPr>
  </w:style>
  <w:style w:type="paragraph" w:styleId="Title">
    <w:name w:val="Title"/>
    <w:basedOn w:val="Normal"/>
    <w:next w:val="Normal"/>
    <w:link w:val="TitleChar"/>
    <w:uiPriority w:val="10"/>
    <w:qFormat/>
    <w:rsid w:val="003E154D"/>
    <w:pPr>
      <w:spacing w:after="400" w:line="240" w:lineRule="auto"/>
      <w:contextualSpacing/>
      <w:jc w:val="center"/>
    </w:pPr>
    <w:rPr>
      <w:rFonts w:eastAsiaTheme="majorEastAsia" w:cstheme="minorHAnsi"/>
      <w:b/>
      <w:bCs/>
      <w:spacing w:val="-10"/>
      <w:kern w:val="28"/>
      <w:sz w:val="56"/>
      <w:szCs w:val="56"/>
    </w:rPr>
  </w:style>
  <w:style w:type="character" w:customStyle="1" w:styleId="TitleChar">
    <w:name w:val="Title Char"/>
    <w:basedOn w:val="DefaultParagraphFont"/>
    <w:link w:val="Title"/>
    <w:uiPriority w:val="10"/>
    <w:rsid w:val="00F70B5E"/>
    <w:rPr>
      <w:rFonts w:eastAsiaTheme="majorEastAsia" w:cstheme="minorHAnsi"/>
      <w:b/>
      <w:bCs/>
      <w:spacing w:val="-10"/>
      <w:kern w:val="28"/>
      <w:sz w:val="56"/>
      <w:szCs w:val="56"/>
    </w:rPr>
  </w:style>
  <w:style w:type="paragraph" w:styleId="Subtitle">
    <w:name w:val="Subtitle"/>
    <w:basedOn w:val="Normal"/>
    <w:next w:val="Normal"/>
    <w:link w:val="SubtitleChar"/>
    <w:uiPriority w:val="11"/>
    <w:qFormat/>
    <w:rsid w:val="00FC55F1"/>
    <w:pPr>
      <w:pageBreakBefore/>
    </w:pPr>
    <w:rPr>
      <w:b/>
      <w:bCs/>
      <w:sz w:val="24"/>
      <w:szCs w:val="24"/>
    </w:rPr>
  </w:style>
  <w:style w:type="character" w:customStyle="1" w:styleId="SubtitleChar">
    <w:name w:val="Subtitle Char"/>
    <w:basedOn w:val="DefaultParagraphFont"/>
    <w:link w:val="Subtitle"/>
    <w:uiPriority w:val="11"/>
    <w:rsid w:val="00F70B5E"/>
    <w:rPr>
      <w:b/>
      <w:bCs/>
      <w:sz w:val="24"/>
      <w:szCs w:val="24"/>
    </w:rPr>
  </w:style>
  <w:style w:type="character" w:customStyle="1" w:styleId="Heading5Char">
    <w:name w:val="Heading 5 Char"/>
    <w:basedOn w:val="DefaultParagraphFont"/>
    <w:link w:val="Heading5"/>
    <w:uiPriority w:val="9"/>
    <w:rsid w:val="00DE41B8"/>
    <w:rPr>
      <w:b/>
      <w:bCs/>
      <w:sz w:val="24"/>
      <w:szCs w:val="24"/>
    </w:rPr>
  </w:style>
  <w:style w:type="character" w:customStyle="1" w:styleId="Heading6Char">
    <w:name w:val="Heading 6 Char"/>
    <w:basedOn w:val="DefaultParagraphFont"/>
    <w:link w:val="Heading6"/>
    <w:uiPriority w:val="9"/>
    <w:semiHidden/>
    <w:rsid w:val="00A374B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374B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374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74BD"/>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8F1529"/>
    <w:rPr>
      <w:color w:val="0563C1" w:themeColor="hyperlink"/>
      <w:u w:val="single"/>
    </w:rPr>
  </w:style>
  <w:style w:type="character" w:styleId="UnresolvedMention">
    <w:name w:val="Unresolved Mention"/>
    <w:basedOn w:val="DefaultParagraphFont"/>
    <w:uiPriority w:val="99"/>
    <w:semiHidden/>
    <w:unhideWhenUsed/>
    <w:rsid w:val="008F1529"/>
    <w:rPr>
      <w:color w:val="605E5C"/>
      <w:shd w:val="clear" w:color="auto" w:fill="E1DFDD"/>
    </w:rPr>
  </w:style>
  <w:style w:type="character" w:styleId="SubtleEmphasis">
    <w:name w:val="Subtle Emphasis"/>
    <w:basedOn w:val="DefaultParagraphFont"/>
    <w:uiPriority w:val="19"/>
    <w:qFormat/>
    <w:rsid w:val="00A63BCA"/>
    <w:rPr>
      <w:b/>
      <w:bCs/>
      <w:i/>
      <w:iCs/>
    </w:rPr>
  </w:style>
  <w:style w:type="character" w:styleId="Emphasis">
    <w:name w:val="Emphasis"/>
    <w:basedOn w:val="DefaultParagraphFont"/>
    <w:uiPriority w:val="20"/>
    <w:qFormat/>
    <w:rsid w:val="00916D71"/>
    <w:rPr>
      <w:i/>
      <w:iCs/>
    </w:rPr>
  </w:style>
  <w:style w:type="paragraph" w:customStyle="1" w:styleId="Terms">
    <w:name w:val="Terms"/>
    <w:basedOn w:val="Normal"/>
    <w:next w:val="Normal"/>
    <w:qFormat/>
    <w:rsid w:val="003216CC"/>
    <w:pPr>
      <w:spacing w:after="80"/>
    </w:pPr>
    <w:rPr>
      <w:b/>
      <w:i/>
    </w:rPr>
  </w:style>
  <w:style w:type="table" w:styleId="TableGrid">
    <w:name w:val="Table Grid"/>
    <w:basedOn w:val="TableNormal"/>
    <w:uiPriority w:val="39"/>
    <w:rsid w:val="00DF1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D0247"/>
    <w:pPr>
      <w:tabs>
        <w:tab w:val="left" w:pos="440"/>
        <w:tab w:val="right" w:leader="dot" w:pos="9016"/>
      </w:tabs>
      <w:spacing w:after="100"/>
    </w:pPr>
  </w:style>
  <w:style w:type="paragraph" w:styleId="TOC2">
    <w:name w:val="toc 2"/>
    <w:basedOn w:val="Normal"/>
    <w:next w:val="Normal"/>
    <w:autoRedefine/>
    <w:uiPriority w:val="39"/>
    <w:unhideWhenUsed/>
    <w:rsid w:val="00B11C2F"/>
    <w:pPr>
      <w:spacing w:after="100"/>
      <w:ind w:left="220"/>
    </w:pPr>
  </w:style>
  <w:style w:type="paragraph" w:customStyle="1" w:styleId="Disclaimer">
    <w:name w:val="Disclaimer"/>
    <w:basedOn w:val="Normal"/>
    <w:qFormat/>
    <w:rsid w:val="00B11C2F"/>
    <w:pPr>
      <w:jc w:val="both"/>
    </w:pPr>
    <w:rPr>
      <w:sz w:val="18"/>
    </w:rPr>
  </w:style>
  <w:style w:type="paragraph" w:customStyle="1" w:styleId="BodyText1">
    <w:name w:val="Body Text1"/>
    <w:basedOn w:val="Normal"/>
    <w:link w:val="BodyText1Char"/>
    <w:qFormat/>
    <w:rsid w:val="00B11C2F"/>
    <w:pPr>
      <w:jc w:val="both"/>
    </w:pPr>
  </w:style>
  <w:style w:type="paragraph" w:customStyle="1" w:styleId="Nospacelist">
    <w:name w:val="No space list"/>
    <w:basedOn w:val="BodyText1"/>
    <w:link w:val="NospacelistChar"/>
    <w:qFormat/>
    <w:rsid w:val="002D1B9F"/>
    <w:pPr>
      <w:tabs>
        <w:tab w:val="left" w:pos="2552"/>
      </w:tabs>
      <w:spacing w:after="80"/>
    </w:pPr>
  </w:style>
  <w:style w:type="character" w:customStyle="1" w:styleId="BodyText1Char">
    <w:name w:val="Body Text1 Char"/>
    <w:basedOn w:val="DefaultParagraphFont"/>
    <w:link w:val="BodyText1"/>
    <w:rsid w:val="00760E61"/>
  </w:style>
  <w:style w:type="character" w:customStyle="1" w:styleId="NospacelistChar">
    <w:name w:val="No space list Char"/>
    <w:basedOn w:val="BodyText1Char"/>
    <w:link w:val="Nospacelist"/>
    <w:rsid w:val="002D1B9F"/>
  </w:style>
  <w:style w:type="paragraph" w:styleId="Revision">
    <w:name w:val="Revision"/>
    <w:hidden/>
    <w:uiPriority w:val="99"/>
    <w:semiHidden/>
    <w:rsid w:val="00AA2BA8"/>
    <w:pPr>
      <w:spacing w:after="0" w:line="240" w:lineRule="auto"/>
    </w:pPr>
  </w:style>
  <w:style w:type="character" w:styleId="FollowedHyperlink">
    <w:name w:val="FollowedHyperlink"/>
    <w:basedOn w:val="DefaultParagraphFont"/>
    <w:uiPriority w:val="99"/>
    <w:semiHidden/>
    <w:unhideWhenUsed/>
    <w:rsid w:val="00BF53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455878">
      <w:bodyDiv w:val="1"/>
      <w:marLeft w:val="0"/>
      <w:marRight w:val="0"/>
      <w:marTop w:val="0"/>
      <w:marBottom w:val="0"/>
      <w:divBdr>
        <w:top w:val="none" w:sz="0" w:space="0" w:color="auto"/>
        <w:left w:val="none" w:sz="0" w:space="0" w:color="auto"/>
        <w:bottom w:val="none" w:sz="0" w:space="0" w:color="auto"/>
        <w:right w:val="none" w:sz="0" w:space="0" w:color="auto"/>
      </w:divBdr>
    </w:div>
    <w:div w:id="161316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constructionproducts.org.uk/publications/technical-and-regulatory/built-environment-proposed-construction-product-competence-standard-white-paper/" TargetMode="External"/><Relationship Id="rId3" Type="http://schemas.openxmlformats.org/officeDocument/2006/relationships/hyperlink" Target="https://www.constructionleadershipcouncil.co.uk/wp-content/uploads/2022/05/WG2-Phase-1-Report-17-May-2022.pdf" TargetMode="External"/><Relationship Id="rId7" Type="http://schemas.openxmlformats.org/officeDocument/2006/relationships/hyperlink" Target="https://www.bsigroup.com/en-GB/industries-and-sectors/construction-and-the-built-environment/built-environment-competence-standards/download-form/" TargetMode="External"/><Relationship Id="rId2" Type="http://schemas.openxmlformats.org/officeDocument/2006/relationships/hyperlink" Target="https://knowledge.bsigroup.com/products/built-environment-core-criteria-for-building-safety-in-competence-frameworks-code-of-practice/standard" TargetMode="External"/><Relationship Id="rId1" Type="http://schemas.openxmlformats.org/officeDocument/2006/relationships/hyperlink" Target="https://assets.publishing.service.gov.uk/government/uploads/system/uploads/attachment_data/file/707785/Building_a_Safer_Future_-_web.pdf" TargetMode="External"/><Relationship Id="rId6" Type="http://schemas.openxmlformats.org/officeDocument/2006/relationships/hyperlink" Target="https://assets.publishing.service.gov.uk/government/uploads/system/uploads/attachment_data/file/210099/bis-13-955-construction-2025-industrial-strategy.pdf" TargetMode="External"/><Relationship Id="rId5" Type="http://schemas.openxmlformats.org/officeDocument/2006/relationships/hyperlink" Target="https://www.cscs.uk.com/wp-content/uploads/2020/12/CLC-decision-on-card-scheme-logo-01.12.20.pdf" TargetMode="External"/><Relationship Id="rId4" Type="http://schemas.openxmlformats.org/officeDocument/2006/relationships/hyperlink" Target="https://builduk.org/wp-content/uploads/2022/05/WG2-Phase-1-Report-17-May-2022.pdf" TargetMode="External"/><Relationship Id="rId9" Type="http://schemas.openxmlformats.org/officeDocument/2006/relationships/hyperlink" Target="https://c-a-b.org.uk/wp-content/uploads/White-Paper-Achieving-Competence-in-the-Building-Envelope-Sector-Publication-Version-09.05.23.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D4C917496747A3969A3488F126F1A0"/>
        <w:category>
          <w:name w:val="General"/>
          <w:gallery w:val="placeholder"/>
        </w:category>
        <w:types>
          <w:type w:val="bbPlcHdr"/>
        </w:types>
        <w:behaviors>
          <w:behavior w:val="content"/>
        </w:behaviors>
        <w:guid w:val="{0E84F260-6736-4A8E-A731-83BE40BCF11A}"/>
      </w:docPartPr>
      <w:docPartBody>
        <w:p w:rsidR="00D74EB9" w:rsidRDefault="00544477">
          <w:r w:rsidRPr="005D21E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Frutiger 55 Roman">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77"/>
    <w:rsid w:val="002A5CE5"/>
    <w:rsid w:val="002F2A96"/>
    <w:rsid w:val="00544477"/>
    <w:rsid w:val="00563B7C"/>
    <w:rsid w:val="00636458"/>
    <w:rsid w:val="00844BC5"/>
    <w:rsid w:val="00916911"/>
    <w:rsid w:val="00A84219"/>
    <w:rsid w:val="00C2482C"/>
    <w:rsid w:val="00CE501F"/>
    <w:rsid w:val="00D74EB9"/>
    <w:rsid w:val="00EB5B0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4447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DF27A1311BDD43BADB2C07FDF64E9B" ma:contentTypeVersion="14" ma:contentTypeDescription="Create a new document." ma:contentTypeScope="" ma:versionID="f3800e5555244adf5ae8f90fa710545a">
  <xsd:schema xmlns:xsd="http://www.w3.org/2001/XMLSchema" xmlns:xs="http://www.w3.org/2001/XMLSchema" xmlns:p="http://schemas.microsoft.com/office/2006/metadata/properties" xmlns:ns2="b6257cc8-dcda-4a7f-8372-7e09157faba4" xmlns:ns3="55f056f1-0b50-4bcf-a437-ef598767da06" targetNamespace="http://schemas.microsoft.com/office/2006/metadata/properties" ma:root="true" ma:fieldsID="d2e1b342a0e64537a91b0bd941018f55" ns2:_="" ns3:_="">
    <xsd:import namespace="b6257cc8-dcda-4a7f-8372-7e09157faba4"/>
    <xsd:import namespace="55f056f1-0b50-4bcf-a437-ef598767da0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57cc8-dcda-4a7f-8372-7e09157fab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2b8372-5806-4e0e-8ccd-509566ef93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f056f1-0b50-4bcf-a437-ef598767da0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61d97b2-c4fb-4d9c-b043-16bb8140dcb9}" ma:internalName="TaxCatchAll" ma:showField="CatchAllData" ma:web="55f056f1-0b50-4bcf-a437-ef598767da0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f056f1-0b50-4bcf-a437-ef598767da06" xsi:nil="true"/>
    <lcf76f155ced4ddcb4097134ff3c332f xmlns="b6257cc8-dcda-4a7f-8372-7e09157faba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772A09-23CC-4A91-A93B-3DB1E62FF153}">
  <ds:schemaRefs>
    <ds:schemaRef ds:uri="http://schemas.microsoft.com/sharepoint/v3/contenttype/forms"/>
  </ds:schemaRefs>
</ds:datastoreItem>
</file>

<file path=customXml/itemProps2.xml><?xml version="1.0" encoding="utf-8"?>
<ds:datastoreItem xmlns:ds="http://schemas.openxmlformats.org/officeDocument/2006/customXml" ds:itemID="{5271F106-CF74-4C4E-A586-5763802F39B3}"/>
</file>

<file path=customXml/itemProps3.xml><?xml version="1.0" encoding="utf-8"?>
<ds:datastoreItem xmlns:ds="http://schemas.openxmlformats.org/officeDocument/2006/customXml" ds:itemID="{A95809FF-FDBC-4017-A2CE-164A078DD694}">
  <ds:schemaRefs>
    <ds:schemaRef ds:uri="http://schemas.openxmlformats.org/officeDocument/2006/bibliography"/>
  </ds:schemaRefs>
</ds:datastoreItem>
</file>

<file path=customXml/itemProps4.xml><?xml version="1.0" encoding="utf-8"?>
<ds:datastoreItem xmlns:ds="http://schemas.openxmlformats.org/officeDocument/2006/customXml" ds:itemID="{877486D5-CDE4-416A-8708-CF36E7423EC2}">
  <ds:schemaRefs>
    <ds:schemaRef ds:uri="http://schemas.microsoft.com/office/2006/metadata/properties"/>
    <ds:schemaRef ds:uri="http://schemas.microsoft.com/office/infopath/2007/PartnerControls"/>
    <ds:schemaRef ds:uri="4f55eae4-031a-49e8-afb7-ba22bd2aedca"/>
    <ds:schemaRef ds:uri="f175d64f-0561-4ae2-9bf9-55bef7fcb208"/>
    <ds:schemaRef ds:uri="6cda3599-f4e0-4b4c-a0f6-2ae09413eadf"/>
    <ds:schemaRef ds:uri="de43e9f3-8159-45e6-b331-18766bf2d899"/>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6155</Words>
  <Characters>35089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FSSG: Managing Competence for Firestopping Activities &amp; Specialist Occupations</vt:lpstr>
    </vt:vector>
  </TitlesOfParts>
  <Company/>
  <LinksUpToDate>false</LinksUpToDate>
  <CharactersWithSpaces>41162</CharactersWithSpaces>
  <SharedDoc>false</SharedDoc>
  <HLinks>
    <vt:vector size="240" baseType="variant">
      <vt:variant>
        <vt:i4>1900594</vt:i4>
      </vt:variant>
      <vt:variant>
        <vt:i4>182</vt:i4>
      </vt:variant>
      <vt:variant>
        <vt:i4>0</vt:i4>
      </vt:variant>
      <vt:variant>
        <vt:i4>5</vt:i4>
      </vt:variant>
      <vt:variant>
        <vt:lpwstr/>
      </vt:variant>
      <vt:variant>
        <vt:lpwstr>_Toc136539657</vt:lpwstr>
      </vt:variant>
      <vt:variant>
        <vt:i4>1900594</vt:i4>
      </vt:variant>
      <vt:variant>
        <vt:i4>176</vt:i4>
      </vt:variant>
      <vt:variant>
        <vt:i4>0</vt:i4>
      </vt:variant>
      <vt:variant>
        <vt:i4>5</vt:i4>
      </vt:variant>
      <vt:variant>
        <vt:lpwstr/>
      </vt:variant>
      <vt:variant>
        <vt:lpwstr>_Toc136539656</vt:lpwstr>
      </vt:variant>
      <vt:variant>
        <vt:i4>1900594</vt:i4>
      </vt:variant>
      <vt:variant>
        <vt:i4>170</vt:i4>
      </vt:variant>
      <vt:variant>
        <vt:i4>0</vt:i4>
      </vt:variant>
      <vt:variant>
        <vt:i4>5</vt:i4>
      </vt:variant>
      <vt:variant>
        <vt:lpwstr/>
      </vt:variant>
      <vt:variant>
        <vt:lpwstr>_Toc136539655</vt:lpwstr>
      </vt:variant>
      <vt:variant>
        <vt:i4>1900594</vt:i4>
      </vt:variant>
      <vt:variant>
        <vt:i4>164</vt:i4>
      </vt:variant>
      <vt:variant>
        <vt:i4>0</vt:i4>
      </vt:variant>
      <vt:variant>
        <vt:i4>5</vt:i4>
      </vt:variant>
      <vt:variant>
        <vt:lpwstr/>
      </vt:variant>
      <vt:variant>
        <vt:lpwstr>_Toc136539654</vt:lpwstr>
      </vt:variant>
      <vt:variant>
        <vt:i4>1900594</vt:i4>
      </vt:variant>
      <vt:variant>
        <vt:i4>158</vt:i4>
      </vt:variant>
      <vt:variant>
        <vt:i4>0</vt:i4>
      </vt:variant>
      <vt:variant>
        <vt:i4>5</vt:i4>
      </vt:variant>
      <vt:variant>
        <vt:lpwstr/>
      </vt:variant>
      <vt:variant>
        <vt:lpwstr>_Toc136539653</vt:lpwstr>
      </vt:variant>
      <vt:variant>
        <vt:i4>1900594</vt:i4>
      </vt:variant>
      <vt:variant>
        <vt:i4>152</vt:i4>
      </vt:variant>
      <vt:variant>
        <vt:i4>0</vt:i4>
      </vt:variant>
      <vt:variant>
        <vt:i4>5</vt:i4>
      </vt:variant>
      <vt:variant>
        <vt:lpwstr/>
      </vt:variant>
      <vt:variant>
        <vt:lpwstr>_Toc136539652</vt:lpwstr>
      </vt:variant>
      <vt:variant>
        <vt:i4>1900594</vt:i4>
      </vt:variant>
      <vt:variant>
        <vt:i4>146</vt:i4>
      </vt:variant>
      <vt:variant>
        <vt:i4>0</vt:i4>
      </vt:variant>
      <vt:variant>
        <vt:i4>5</vt:i4>
      </vt:variant>
      <vt:variant>
        <vt:lpwstr/>
      </vt:variant>
      <vt:variant>
        <vt:lpwstr>_Toc136539651</vt:lpwstr>
      </vt:variant>
      <vt:variant>
        <vt:i4>1900594</vt:i4>
      </vt:variant>
      <vt:variant>
        <vt:i4>140</vt:i4>
      </vt:variant>
      <vt:variant>
        <vt:i4>0</vt:i4>
      </vt:variant>
      <vt:variant>
        <vt:i4>5</vt:i4>
      </vt:variant>
      <vt:variant>
        <vt:lpwstr/>
      </vt:variant>
      <vt:variant>
        <vt:lpwstr>_Toc136539650</vt:lpwstr>
      </vt:variant>
      <vt:variant>
        <vt:i4>1835058</vt:i4>
      </vt:variant>
      <vt:variant>
        <vt:i4>134</vt:i4>
      </vt:variant>
      <vt:variant>
        <vt:i4>0</vt:i4>
      </vt:variant>
      <vt:variant>
        <vt:i4>5</vt:i4>
      </vt:variant>
      <vt:variant>
        <vt:lpwstr/>
      </vt:variant>
      <vt:variant>
        <vt:lpwstr>_Toc136539649</vt:lpwstr>
      </vt:variant>
      <vt:variant>
        <vt:i4>1835058</vt:i4>
      </vt:variant>
      <vt:variant>
        <vt:i4>128</vt:i4>
      </vt:variant>
      <vt:variant>
        <vt:i4>0</vt:i4>
      </vt:variant>
      <vt:variant>
        <vt:i4>5</vt:i4>
      </vt:variant>
      <vt:variant>
        <vt:lpwstr/>
      </vt:variant>
      <vt:variant>
        <vt:lpwstr>_Toc136539648</vt:lpwstr>
      </vt:variant>
      <vt:variant>
        <vt:i4>1835058</vt:i4>
      </vt:variant>
      <vt:variant>
        <vt:i4>122</vt:i4>
      </vt:variant>
      <vt:variant>
        <vt:i4>0</vt:i4>
      </vt:variant>
      <vt:variant>
        <vt:i4>5</vt:i4>
      </vt:variant>
      <vt:variant>
        <vt:lpwstr/>
      </vt:variant>
      <vt:variant>
        <vt:lpwstr>_Toc136539647</vt:lpwstr>
      </vt:variant>
      <vt:variant>
        <vt:i4>1835058</vt:i4>
      </vt:variant>
      <vt:variant>
        <vt:i4>116</vt:i4>
      </vt:variant>
      <vt:variant>
        <vt:i4>0</vt:i4>
      </vt:variant>
      <vt:variant>
        <vt:i4>5</vt:i4>
      </vt:variant>
      <vt:variant>
        <vt:lpwstr/>
      </vt:variant>
      <vt:variant>
        <vt:lpwstr>_Toc136539646</vt:lpwstr>
      </vt:variant>
      <vt:variant>
        <vt:i4>1835058</vt:i4>
      </vt:variant>
      <vt:variant>
        <vt:i4>110</vt:i4>
      </vt:variant>
      <vt:variant>
        <vt:i4>0</vt:i4>
      </vt:variant>
      <vt:variant>
        <vt:i4>5</vt:i4>
      </vt:variant>
      <vt:variant>
        <vt:lpwstr/>
      </vt:variant>
      <vt:variant>
        <vt:lpwstr>_Toc136539645</vt:lpwstr>
      </vt:variant>
      <vt:variant>
        <vt:i4>1835058</vt:i4>
      </vt:variant>
      <vt:variant>
        <vt:i4>104</vt:i4>
      </vt:variant>
      <vt:variant>
        <vt:i4>0</vt:i4>
      </vt:variant>
      <vt:variant>
        <vt:i4>5</vt:i4>
      </vt:variant>
      <vt:variant>
        <vt:lpwstr/>
      </vt:variant>
      <vt:variant>
        <vt:lpwstr>_Toc136539644</vt:lpwstr>
      </vt:variant>
      <vt:variant>
        <vt:i4>1835058</vt:i4>
      </vt:variant>
      <vt:variant>
        <vt:i4>98</vt:i4>
      </vt:variant>
      <vt:variant>
        <vt:i4>0</vt:i4>
      </vt:variant>
      <vt:variant>
        <vt:i4>5</vt:i4>
      </vt:variant>
      <vt:variant>
        <vt:lpwstr/>
      </vt:variant>
      <vt:variant>
        <vt:lpwstr>_Toc136539643</vt:lpwstr>
      </vt:variant>
      <vt:variant>
        <vt:i4>1835058</vt:i4>
      </vt:variant>
      <vt:variant>
        <vt:i4>92</vt:i4>
      </vt:variant>
      <vt:variant>
        <vt:i4>0</vt:i4>
      </vt:variant>
      <vt:variant>
        <vt:i4>5</vt:i4>
      </vt:variant>
      <vt:variant>
        <vt:lpwstr/>
      </vt:variant>
      <vt:variant>
        <vt:lpwstr>_Toc136539642</vt:lpwstr>
      </vt:variant>
      <vt:variant>
        <vt:i4>1835058</vt:i4>
      </vt:variant>
      <vt:variant>
        <vt:i4>86</vt:i4>
      </vt:variant>
      <vt:variant>
        <vt:i4>0</vt:i4>
      </vt:variant>
      <vt:variant>
        <vt:i4>5</vt:i4>
      </vt:variant>
      <vt:variant>
        <vt:lpwstr/>
      </vt:variant>
      <vt:variant>
        <vt:lpwstr>_Toc136539641</vt:lpwstr>
      </vt:variant>
      <vt:variant>
        <vt:i4>1835058</vt:i4>
      </vt:variant>
      <vt:variant>
        <vt:i4>80</vt:i4>
      </vt:variant>
      <vt:variant>
        <vt:i4>0</vt:i4>
      </vt:variant>
      <vt:variant>
        <vt:i4>5</vt:i4>
      </vt:variant>
      <vt:variant>
        <vt:lpwstr/>
      </vt:variant>
      <vt:variant>
        <vt:lpwstr>_Toc136539640</vt:lpwstr>
      </vt:variant>
      <vt:variant>
        <vt:i4>1769522</vt:i4>
      </vt:variant>
      <vt:variant>
        <vt:i4>74</vt:i4>
      </vt:variant>
      <vt:variant>
        <vt:i4>0</vt:i4>
      </vt:variant>
      <vt:variant>
        <vt:i4>5</vt:i4>
      </vt:variant>
      <vt:variant>
        <vt:lpwstr/>
      </vt:variant>
      <vt:variant>
        <vt:lpwstr>_Toc136539639</vt:lpwstr>
      </vt:variant>
      <vt:variant>
        <vt:i4>1769522</vt:i4>
      </vt:variant>
      <vt:variant>
        <vt:i4>68</vt:i4>
      </vt:variant>
      <vt:variant>
        <vt:i4>0</vt:i4>
      </vt:variant>
      <vt:variant>
        <vt:i4>5</vt:i4>
      </vt:variant>
      <vt:variant>
        <vt:lpwstr/>
      </vt:variant>
      <vt:variant>
        <vt:lpwstr>_Toc136539638</vt:lpwstr>
      </vt:variant>
      <vt:variant>
        <vt:i4>1769522</vt:i4>
      </vt:variant>
      <vt:variant>
        <vt:i4>62</vt:i4>
      </vt:variant>
      <vt:variant>
        <vt:i4>0</vt:i4>
      </vt:variant>
      <vt:variant>
        <vt:i4>5</vt:i4>
      </vt:variant>
      <vt:variant>
        <vt:lpwstr/>
      </vt:variant>
      <vt:variant>
        <vt:lpwstr>_Toc136539637</vt:lpwstr>
      </vt:variant>
      <vt:variant>
        <vt:i4>1769522</vt:i4>
      </vt:variant>
      <vt:variant>
        <vt:i4>56</vt:i4>
      </vt:variant>
      <vt:variant>
        <vt:i4>0</vt:i4>
      </vt:variant>
      <vt:variant>
        <vt:i4>5</vt:i4>
      </vt:variant>
      <vt:variant>
        <vt:lpwstr/>
      </vt:variant>
      <vt:variant>
        <vt:lpwstr>_Toc136539636</vt:lpwstr>
      </vt:variant>
      <vt:variant>
        <vt:i4>1769522</vt:i4>
      </vt:variant>
      <vt:variant>
        <vt:i4>50</vt:i4>
      </vt:variant>
      <vt:variant>
        <vt:i4>0</vt:i4>
      </vt:variant>
      <vt:variant>
        <vt:i4>5</vt:i4>
      </vt:variant>
      <vt:variant>
        <vt:lpwstr/>
      </vt:variant>
      <vt:variant>
        <vt:lpwstr>_Toc136539635</vt:lpwstr>
      </vt:variant>
      <vt:variant>
        <vt:i4>1769522</vt:i4>
      </vt:variant>
      <vt:variant>
        <vt:i4>44</vt:i4>
      </vt:variant>
      <vt:variant>
        <vt:i4>0</vt:i4>
      </vt:variant>
      <vt:variant>
        <vt:i4>5</vt:i4>
      </vt:variant>
      <vt:variant>
        <vt:lpwstr/>
      </vt:variant>
      <vt:variant>
        <vt:lpwstr>_Toc136539634</vt:lpwstr>
      </vt:variant>
      <vt:variant>
        <vt:i4>1769522</vt:i4>
      </vt:variant>
      <vt:variant>
        <vt:i4>38</vt:i4>
      </vt:variant>
      <vt:variant>
        <vt:i4>0</vt:i4>
      </vt:variant>
      <vt:variant>
        <vt:i4>5</vt:i4>
      </vt:variant>
      <vt:variant>
        <vt:lpwstr/>
      </vt:variant>
      <vt:variant>
        <vt:lpwstr>_Toc136539633</vt:lpwstr>
      </vt:variant>
      <vt:variant>
        <vt:i4>1769522</vt:i4>
      </vt:variant>
      <vt:variant>
        <vt:i4>32</vt:i4>
      </vt:variant>
      <vt:variant>
        <vt:i4>0</vt:i4>
      </vt:variant>
      <vt:variant>
        <vt:i4>5</vt:i4>
      </vt:variant>
      <vt:variant>
        <vt:lpwstr/>
      </vt:variant>
      <vt:variant>
        <vt:lpwstr>_Toc136539632</vt:lpwstr>
      </vt:variant>
      <vt:variant>
        <vt:i4>1769522</vt:i4>
      </vt:variant>
      <vt:variant>
        <vt:i4>26</vt:i4>
      </vt:variant>
      <vt:variant>
        <vt:i4>0</vt:i4>
      </vt:variant>
      <vt:variant>
        <vt:i4>5</vt:i4>
      </vt:variant>
      <vt:variant>
        <vt:lpwstr/>
      </vt:variant>
      <vt:variant>
        <vt:lpwstr>_Toc136539631</vt:lpwstr>
      </vt:variant>
      <vt:variant>
        <vt:i4>1769522</vt:i4>
      </vt:variant>
      <vt:variant>
        <vt:i4>20</vt:i4>
      </vt:variant>
      <vt:variant>
        <vt:i4>0</vt:i4>
      </vt:variant>
      <vt:variant>
        <vt:i4>5</vt:i4>
      </vt:variant>
      <vt:variant>
        <vt:lpwstr/>
      </vt:variant>
      <vt:variant>
        <vt:lpwstr>_Toc136539630</vt:lpwstr>
      </vt:variant>
      <vt:variant>
        <vt:i4>1703986</vt:i4>
      </vt:variant>
      <vt:variant>
        <vt:i4>14</vt:i4>
      </vt:variant>
      <vt:variant>
        <vt:i4>0</vt:i4>
      </vt:variant>
      <vt:variant>
        <vt:i4>5</vt:i4>
      </vt:variant>
      <vt:variant>
        <vt:lpwstr/>
      </vt:variant>
      <vt:variant>
        <vt:lpwstr>_Toc136539629</vt:lpwstr>
      </vt:variant>
      <vt:variant>
        <vt:i4>1703986</vt:i4>
      </vt:variant>
      <vt:variant>
        <vt:i4>8</vt:i4>
      </vt:variant>
      <vt:variant>
        <vt:i4>0</vt:i4>
      </vt:variant>
      <vt:variant>
        <vt:i4>5</vt:i4>
      </vt:variant>
      <vt:variant>
        <vt:lpwstr/>
      </vt:variant>
      <vt:variant>
        <vt:lpwstr>_Toc136539628</vt:lpwstr>
      </vt:variant>
      <vt:variant>
        <vt:i4>1703986</vt:i4>
      </vt:variant>
      <vt:variant>
        <vt:i4>2</vt:i4>
      </vt:variant>
      <vt:variant>
        <vt:i4>0</vt:i4>
      </vt:variant>
      <vt:variant>
        <vt:i4>5</vt:i4>
      </vt:variant>
      <vt:variant>
        <vt:lpwstr/>
      </vt:variant>
      <vt:variant>
        <vt:lpwstr>_Toc136539627</vt:lpwstr>
      </vt:variant>
      <vt:variant>
        <vt:i4>65602</vt:i4>
      </vt:variant>
      <vt:variant>
        <vt:i4>24</vt:i4>
      </vt:variant>
      <vt:variant>
        <vt:i4>0</vt:i4>
      </vt:variant>
      <vt:variant>
        <vt:i4>5</vt:i4>
      </vt:variant>
      <vt:variant>
        <vt:lpwstr>https://c-a-b.org.uk/wp-content/uploads/White-Paper-Achieving-Competence-in-the-Building-Envelope-Sector-Publication-Version-09.05.23.pdf</vt:lpwstr>
      </vt:variant>
      <vt:variant>
        <vt:lpwstr/>
      </vt:variant>
      <vt:variant>
        <vt:i4>7405685</vt:i4>
      </vt:variant>
      <vt:variant>
        <vt:i4>21</vt:i4>
      </vt:variant>
      <vt:variant>
        <vt:i4>0</vt:i4>
      </vt:variant>
      <vt:variant>
        <vt:i4>5</vt:i4>
      </vt:variant>
      <vt:variant>
        <vt:lpwstr>https://www.constructionproducts.org.uk/publications/technical-and-regulatory/built-environment-proposed-construction-product-competence-standard-white-paper/</vt:lpwstr>
      </vt:variant>
      <vt:variant>
        <vt:lpwstr/>
      </vt:variant>
      <vt:variant>
        <vt:i4>7536736</vt:i4>
      </vt:variant>
      <vt:variant>
        <vt:i4>18</vt:i4>
      </vt:variant>
      <vt:variant>
        <vt:i4>0</vt:i4>
      </vt:variant>
      <vt:variant>
        <vt:i4>5</vt:i4>
      </vt:variant>
      <vt:variant>
        <vt:lpwstr>https://www.bsigroup.com/en-GB/industries-and-sectors/construction-and-the-built-environment/built-environment-competence-standards/download-form/</vt:lpwstr>
      </vt:variant>
      <vt:variant>
        <vt:lpwstr/>
      </vt:variant>
      <vt:variant>
        <vt:i4>1310844</vt:i4>
      </vt:variant>
      <vt:variant>
        <vt:i4>15</vt:i4>
      </vt:variant>
      <vt:variant>
        <vt:i4>0</vt:i4>
      </vt:variant>
      <vt:variant>
        <vt:i4>5</vt:i4>
      </vt:variant>
      <vt:variant>
        <vt:lpwstr>https://assets.publishing.service.gov.uk/government/uploads/system/uploads/attachment_data/file/210099/bis-13-955-construction-2025-industrial-strategy.pdf</vt:lpwstr>
      </vt:variant>
      <vt:variant>
        <vt:lpwstr/>
      </vt:variant>
      <vt:variant>
        <vt:i4>67</vt:i4>
      </vt:variant>
      <vt:variant>
        <vt:i4>12</vt:i4>
      </vt:variant>
      <vt:variant>
        <vt:i4>0</vt:i4>
      </vt:variant>
      <vt:variant>
        <vt:i4>5</vt:i4>
      </vt:variant>
      <vt:variant>
        <vt:lpwstr>https://www.cscs.uk.com/wp-content/uploads/2020/12/CLC-decision-on-card-scheme-logo-01.12.20.pdf</vt:lpwstr>
      </vt:variant>
      <vt:variant>
        <vt:lpwstr/>
      </vt:variant>
      <vt:variant>
        <vt:i4>4653064</vt:i4>
      </vt:variant>
      <vt:variant>
        <vt:i4>9</vt:i4>
      </vt:variant>
      <vt:variant>
        <vt:i4>0</vt:i4>
      </vt:variant>
      <vt:variant>
        <vt:i4>5</vt:i4>
      </vt:variant>
      <vt:variant>
        <vt:lpwstr>https://builduk.org/wp-content/uploads/2022/05/WG2-Phase-1-Report-17-May-2022.pdf</vt:lpwstr>
      </vt:variant>
      <vt:variant>
        <vt:lpwstr/>
      </vt:variant>
      <vt:variant>
        <vt:i4>1245278</vt:i4>
      </vt:variant>
      <vt:variant>
        <vt:i4>6</vt:i4>
      </vt:variant>
      <vt:variant>
        <vt:i4>0</vt:i4>
      </vt:variant>
      <vt:variant>
        <vt:i4>5</vt:i4>
      </vt:variant>
      <vt:variant>
        <vt:lpwstr>https://www.constructionleadershipcouncil.co.uk/wp-content/uploads/2022/05/WG2-Phase-1-Report-17-May-2022.pdf</vt:lpwstr>
      </vt:variant>
      <vt:variant>
        <vt:lpwstr/>
      </vt:variant>
      <vt:variant>
        <vt:i4>6750334</vt:i4>
      </vt:variant>
      <vt:variant>
        <vt:i4>3</vt:i4>
      </vt:variant>
      <vt:variant>
        <vt:i4>0</vt:i4>
      </vt:variant>
      <vt:variant>
        <vt:i4>5</vt:i4>
      </vt:variant>
      <vt:variant>
        <vt:lpwstr>https://knowledge.bsigroup.com/products/built-environment-core-criteria-for-building-safety-in-competence-frameworks-code-of-practice/standard</vt:lpwstr>
      </vt:variant>
      <vt:variant>
        <vt:lpwstr/>
      </vt:variant>
      <vt:variant>
        <vt:i4>983132</vt:i4>
      </vt:variant>
      <vt:variant>
        <vt:i4>0</vt:i4>
      </vt:variant>
      <vt:variant>
        <vt:i4>0</vt:i4>
      </vt:variant>
      <vt:variant>
        <vt:i4>5</vt:i4>
      </vt:variant>
      <vt:variant>
        <vt:lpwstr>https://assets.publishing.service.gov.uk/government/uploads/system/uploads/attachment_data/file/707785/Building_a_Safer_Future_-_web.pdf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Milford</dc:creator>
  <cp:keywords/>
  <dc:description/>
  <cp:lastModifiedBy>Faye Burnett</cp:lastModifiedBy>
  <cp:revision>3</cp:revision>
  <dcterms:created xsi:type="dcterms:W3CDTF">2023-06-13T16:45:00Z</dcterms:created>
  <dcterms:modified xsi:type="dcterms:W3CDTF">2023-06-15T07:35:00Z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0x010100A6DF27A1311BDD43BADB2C07FDF64E9B</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#000000,10,Arial</vt:lpwstr>
  </property>
  <property fmtid="{D5CDD505-2E9C-101B-9397-08002B2CF9AE}" pid="6" name="ClassificationContentMarkingFooterText">
    <vt:lpwstr>Classification - Public</vt:lpwstr>
  </property>
  <property fmtid="{D5CDD505-2E9C-101B-9397-08002B2CF9AE}" pid="7" name="MSIP_Label_ff528e02-ab69-43a8-9134-6d8d1b0c706c_Enabled">
    <vt:lpwstr>true</vt:lpwstr>
  </property>
  <property fmtid="{D5CDD505-2E9C-101B-9397-08002B2CF9AE}" pid="8" name="MSIP_Label_ff528e02-ab69-43a8-9134-6d8d1b0c706c_SetDate">
    <vt:lpwstr>2023-06-13T16:45:27Z</vt:lpwstr>
  </property>
  <property fmtid="{D5CDD505-2E9C-101B-9397-08002B2CF9AE}" pid="9" name="MSIP_Label_ff528e02-ab69-43a8-9134-6d8d1b0c706c_Method">
    <vt:lpwstr>Standard</vt:lpwstr>
  </property>
  <property fmtid="{D5CDD505-2E9C-101B-9397-08002B2CF9AE}" pid="10" name="MSIP_Label_ff528e02-ab69-43a8-9134-6d8d1b0c706c_Name">
    <vt:lpwstr>ff528e02-ab69-43a8-9134-6d8d1b0c706c</vt:lpwstr>
  </property>
  <property fmtid="{D5CDD505-2E9C-101B-9397-08002B2CF9AE}" pid="11" name="MSIP_Label_ff528e02-ab69-43a8-9134-6d8d1b0c706c_SiteId">
    <vt:lpwstr>f9300280-65a0-46f8-a18c-a296431980f5</vt:lpwstr>
  </property>
  <property fmtid="{D5CDD505-2E9C-101B-9397-08002B2CF9AE}" pid="12" name="MSIP_Label_ff528e02-ab69-43a8-9134-6d8d1b0c706c_ActionId">
    <vt:lpwstr>d39ae5dd-5772-44c5-9da0-d1a7d44def65</vt:lpwstr>
  </property>
  <property fmtid="{D5CDD505-2E9C-101B-9397-08002B2CF9AE}" pid="13" name="MSIP_Label_ff528e02-ab69-43a8-9134-6d8d1b0c706c_ContentBits">
    <vt:lpwstr>2</vt:lpwstr>
  </property>
</Properties>
</file>