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6AD" w14:textId="46E47776" w:rsidR="00CA42DA" w:rsidRPr="000D1D9E" w:rsidRDefault="00CA42DA" w:rsidP="00CA42DA">
      <w:pPr>
        <w:spacing w:after="0"/>
        <w:rPr>
          <w:b/>
          <w:sz w:val="28"/>
          <w:szCs w:val="28"/>
          <w:lang w:val="en-US"/>
        </w:rPr>
      </w:pPr>
      <w:r w:rsidRPr="000D1D9E">
        <w:rPr>
          <w:b/>
          <w:sz w:val="28"/>
          <w:szCs w:val="28"/>
          <w:lang w:val="en-US"/>
        </w:rPr>
        <w:t>For energy-efficiency gains, let’s get our houses in order</w:t>
      </w:r>
    </w:p>
    <w:p w14:paraId="45C7C25C" w14:textId="79410326" w:rsidR="000D1D9E" w:rsidRPr="000D1D9E" w:rsidRDefault="000D1D9E" w:rsidP="000D1D9E">
      <w:pPr>
        <w:pStyle w:val="ListParagraph"/>
        <w:numPr>
          <w:ilvl w:val="0"/>
          <w:numId w:val="7"/>
        </w:numPr>
        <w:rPr>
          <w:b/>
          <w:sz w:val="36"/>
          <w:szCs w:val="36"/>
        </w:rPr>
      </w:pPr>
      <w:r w:rsidRPr="000D1D9E">
        <w:rPr>
          <w:i/>
          <w:color w:val="000000" w:themeColor="text1"/>
        </w:rPr>
        <w:t>Stephen Rouatt, CEO, Signify UK&amp;I</w:t>
      </w:r>
    </w:p>
    <w:p w14:paraId="72319A6B" w14:textId="77777777" w:rsidR="00CA42DA" w:rsidRDefault="00CA42DA" w:rsidP="00CA42DA">
      <w:pPr>
        <w:spacing w:after="0"/>
        <w:rPr>
          <w:i/>
          <w:lang w:val="en-US"/>
        </w:rPr>
      </w:pPr>
    </w:p>
    <w:p w14:paraId="73FDF753" w14:textId="77777777" w:rsidR="00CA42DA" w:rsidRPr="00F43C43" w:rsidRDefault="00CA42DA" w:rsidP="00CA42DA">
      <w:pPr>
        <w:spacing w:after="0"/>
        <w:rPr>
          <w:i/>
          <w:color w:val="000000" w:themeColor="text1"/>
          <w:lang w:val="en-US"/>
        </w:rPr>
      </w:pPr>
      <w:r w:rsidRPr="00F43C43">
        <w:rPr>
          <w:i/>
          <w:color w:val="000000" w:themeColor="text1"/>
          <w:lang w:val="en-US"/>
        </w:rPr>
        <w:t>Raising the global building renovation rate will cut greenhouse gas emissions and reap multiple rewards</w:t>
      </w:r>
    </w:p>
    <w:p w14:paraId="7106201D" w14:textId="77777777" w:rsidR="00CA42DA" w:rsidRDefault="00CA42DA" w:rsidP="00CA42DA">
      <w:pPr>
        <w:spacing w:after="0"/>
        <w:rPr>
          <w:lang w:val="en-US"/>
        </w:rPr>
      </w:pPr>
    </w:p>
    <w:p w14:paraId="1203D9BD" w14:textId="26E2F8B0" w:rsidR="00CA42DA" w:rsidRDefault="007D6018" w:rsidP="00CA42DA">
      <w:pPr>
        <w:spacing w:after="0"/>
        <w:rPr>
          <w:lang w:val="en-US"/>
        </w:rPr>
      </w:pPr>
      <w:r>
        <w:rPr>
          <w:lang w:val="en-US"/>
        </w:rPr>
        <w:t>Th</w:t>
      </w:r>
      <w:r w:rsidRPr="00F43C43">
        <w:rPr>
          <w:color w:val="000000" w:themeColor="text1"/>
          <w:lang w:val="en-US"/>
        </w:rPr>
        <w:t>e UN annual climate conference feature</w:t>
      </w:r>
      <w:r>
        <w:rPr>
          <w:color w:val="000000" w:themeColor="text1"/>
          <w:lang w:val="en-US"/>
        </w:rPr>
        <w:t>d</w:t>
      </w:r>
      <w:r w:rsidRPr="00F43C43">
        <w:rPr>
          <w:color w:val="000000" w:themeColor="text1"/>
          <w:lang w:val="en-US"/>
        </w:rPr>
        <w:t xml:space="preserve"> a day fully dedicated to addressing the environmental impact of cities and the built environment</w:t>
      </w:r>
      <w:r>
        <w:rPr>
          <w:color w:val="000000" w:themeColor="text1"/>
          <w:lang w:val="en-US"/>
        </w:rPr>
        <w:t xml:space="preserve"> - an issue that needs to be addressed urgently</w:t>
      </w:r>
      <w:r w:rsidRPr="00BB76A1">
        <w:rPr>
          <w:color w:val="000000" w:themeColor="text1"/>
          <w:lang w:val="en-US"/>
        </w:rPr>
        <w:t xml:space="preserve">. </w:t>
      </w:r>
      <w:r w:rsidR="00CA42DA" w:rsidRPr="00BB76A1">
        <w:rPr>
          <w:color w:val="000000" w:themeColor="text1"/>
          <w:lang w:val="en-US"/>
        </w:rPr>
        <w:t xml:space="preserve">It’s surprising that this item is so often overlooked, given that our buildings are responsible for 40% of the world’s greenhouse gas emissions. </w:t>
      </w:r>
      <w:r w:rsidR="00CF3216" w:rsidRPr="00BB76A1">
        <w:rPr>
          <w:color w:val="000000" w:themeColor="text1"/>
          <w:lang w:val="en-US"/>
        </w:rPr>
        <w:t xml:space="preserve">Buildings and out-dated construction practices have contributed to this crisis, and we must quickly turn our </w:t>
      </w:r>
      <w:r w:rsidR="00F2091E" w:rsidRPr="00BB76A1">
        <w:rPr>
          <w:color w:val="000000" w:themeColor="text1"/>
          <w:lang w:val="en-US"/>
        </w:rPr>
        <w:t>existing building stock into climate emergency first-responders and also better plan for new buildings to be in line with the climate agenda.</w:t>
      </w:r>
      <w:r w:rsidR="00CF3216" w:rsidRPr="00BB76A1">
        <w:rPr>
          <w:color w:val="000000" w:themeColor="text1"/>
          <w:lang w:val="en-US"/>
        </w:rPr>
        <w:t xml:space="preserve"> Yet, it’s the new, zero-energy buildings with futuristic designs that incorporate cutting-edge technology to perform with the lightest possible impact, that make the headlines.</w:t>
      </w:r>
    </w:p>
    <w:p w14:paraId="61D62893" w14:textId="77777777" w:rsidR="00CF3216" w:rsidRDefault="00CF3216" w:rsidP="00CA42DA">
      <w:pPr>
        <w:spacing w:after="0"/>
        <w:rPr>
          <w:lang w:val="en-US"/>
        </w:rPr>
      </w:pPr>
    </w:p>
    <w:p w14:paraId="0F9E8178" w14:textId="77777777" w:rsidR="00CA42DA" w:rsidRDefault="00CA42DA" w:rsidP="00CA42DA">
      <w:pPr>
        <w:spacing w:after="0"/>
        <w:rPr>
          <w:lang w:val="en-US"/>
        </w:rPr>
      </w:pPr>
      <w:r>
        <w:rPr>
          <w:lang w:val="en-US"/>
        </w:rPr>
        <w:t>Raising the standard of our new building stock will be a welcome change, driven by new building codes that will ensure that construction projects adopt a net-zero standard. But to achieve our ambitious 2030 emissions reduction targets, we must look to the areas where we can make the most meaningful impact. Within Europe, 85 to 95% of our current building stock will still be in use in 30 years’ time. If we focus energy-efficiency initiatives on the small percentage of new buildings, we address only a minor part of the problem.</w:t>
      </w:r>
    </w:p>
    <w:p w14:paraId="4ED9980F" w14:textId="77777777" w:rsidR="00CA42DA" w:rsidRPr="007C374C" w:rsidRDefault="00CA42DA" w:rsidP="00CA42DA">
      <w:pPr>
        <w:spacing w:after="0"/>
        <w:rPr>
          <w:b/>
          <w:lang w:val="en-US"/>
        </w:rPr>
      </w:pPr>
    </w:p>
    <w:p w14:paraId="0CAB4B86" w14:textId="77777777" w:rsidR="00CA42DA" w:rsidRPr="007C374C" w:rsidRDefault="00CA42DA" w:rsidP="00CA42DA">
      <w:pPr>
        <w:spacing w:after="0"/>
        <w:rPr>
          <w:b/>
          <w:lang w:val="en-US"/>
        </w:rPr>
      </w:pPr>
      <w:r w:rsidRPr="007C374C">
        <w:rPr>
          <w:b/>
          <w:lang w:val="en-US"/>
        </w:rPr>
        <w:t>Laying strong foundations</w:t>
      </w:r>
    </w:p>
    <w:p w14:paraId="227CFF84" w14:textId="77777777" w:rsidR="00CA42DA" w:rsidRDefault="00CA42DA" w:rsidP="00CA42DA">
      <w:pPr>
        <w:spacing w:after="0"/>
        <w:rPr>
          <w:lang w:val="en-US"/>
        </w:rPr>
      </w:pPr>
      <w:r>
        <w:rPr>
          <w:lang w:val="en-US"/>
        </w:rPr>
        <w:t xml:space="preserve">At present, just 1% of existing buildings undergo energy renovation each year. If we raise that rate to 3% per year, we can clean up most of our built environment by 2050. </w:t>
      </w:r>
    </w:p>
    <w:p w14:paraId="30632865" w14:textId="77777777" w:rsidR="00CA42DA" w:rsidRDefault="00CA42DA" w:rsidP="00CA42DA">
      <w:pPr>
        <w:spacing w:after="0"/>
        <w:rPr>
          <w:lang w:val="en-US"/>
        </w:rPr>
      </w:pPr>
    </w:p>
    <w:p w14:paraId="6711826E" w14:textId="51614477" w:rsidR="00CA42DA" w:rsidRPr="009B124A" w:rsidRDefault="00CA42DA" w:rsidP="00CA42DA">
      <w:pPr>
        <w:spacing w:after="0"/>
        <w:rPr>
          <w:color w:val="3C3C41"/>
          <w:lang w:val="en-US"/>
        </w:rPr>
      </w:pPr>
      <w:r>
        <w:rPr>
          <w:lang w:val="en-US"/>
        </w:rPr>
        <w:t xml:space="preserve">Renovation is a multi-level process with varying levels of complexity, incorporating solutions like insulation, high-efficiency heating and cooling systems, and </w:t>
      </w:r>
      <w:r w:rsidRPr="000A6996">
        <w:rPr>
          <w:color w:val="3C3C41"/>
          <w:lang w:val="en-US"/>
        </w:rPr>
        <w:t xml:space="preserve">renewable heat and electricity generation systems. To achieve our 2030 targets, we should prioritize one of the quickest wins: lighting. Energy-efficient LED lighting has been with us for a decade now, yet even in highly-developed Europe, two thirds of installed lighting relies on inefficient legacy technology. </w:t>
      </w:r>
      <w:r w:rsidR="00F67DDC" w:rsidRPr="00DA40EE">
        <w:rPr>
          <w:lang w:val="en-US"/>
        </w:rPr>
        <w:t>According</w:t>
      </w:r>
      <w:r w:rsidR="00F67DDC">
        <w:rPr>
          <w:rFonts w:ascii="Tahoma" w:hAnsi="Tahoma" w:cs="Tahoma"/>
          <w:color w:val="3C3C3C"/>
          <w:sz w:val="21"/>
          <w:szCs w:val="21"/>
        </w:rPr>
        <w:t xml:space="preserve"> to </w:t>
      </w:r>
      <w:r w:rsidR="00F67DDC" w:rsidRPr="00666143">
        <w:rPr>
          <w:lang w:val="en-US"/>
        </w:rPr>
        <w:t>our findings, switching to LED lighting in the professional lighting market could reduce CO2 emissions by 3.9 million tonnes in the United Kindgom &amp; Ireland (UK&amp;I) region, the amount of emissions that 175 million trees could sequester in a year. Making the switch would also generate electricity savings of 16.1 TWh, which is equivalent to the annual electricity consumption of more than 4.3 million households. This would mean a saving of EUR 3.8 billion on electricity costs</w:t>
      </w:r>
      <w:r w:rsidR="00F67DDC" w:rsidRPr="00076FFF">
        <w:rPr>
          <w:vertAlign w:val="superscript"/>
          <w:lang w:val="en-US"/>
        </w:rPr>
        <w:t>1</w:t>
      </w:r>
      <w:r w:rsidR="00F67DDC" w:rsidRPr="00666143">
        <w:rPr>
          <w:lang w:val="en-US"/>
        </w:rPr>
        <w:t>.</w:t>
      </w:r>
    </w:p>
    <w:p w14:paraId="2B326EB8" w14:textId="77777777" w:rsidR="00CA42DA" w:rsidRDefault="00CA42DA" w:rsidP="00CA42DA">
      <w:pPr>
        <w:spacing w:after="0"/>
        <w:rPr>
          <w:b/>
          <w:lang w:val="en-US"/>
        </w:rPr>
      </w:pPr>
    </w:p>
    <w:p w14:paraId="48CE4C94" w14:textId="77777777" w:rsidR="00CA42DA" w:rsidRPr="007C374C" w:rsidRDefault="00CA42DA" w:rsidP="00CA42DA">
      <w:pPr>
        <w:spacing w:after="0"/>
        <w:rPr>
          <w:b/>
          <w:lang w:val="en-US"/>
        </w:rPr>
      </w:pPr>
      <w:r w:rsidRPr="007C374C">
        <w:rPr>
          <w:b/>
          <w:lang w:val="en-US"/>
        </w:rPr>
        <w:t>Brighter solutions</w:t>
      </w:r>
    </w:p>
    <w:p w14:paraId="2D5CAB66" w14:textId="0D3EAC98" w:rsidR="00CA42DA" w:rsidRDefault="00CA42DA" w:rsidP="00CA42DA">
      <w:pPr>
        <w:spacing w:after="0"/>
        <w:rPr>
          <w:lang w:val="en-US"/>
        </w:rPr>
      </w:pPr>
      <w:r>
        <w:rPr>
          <w:lang w:val="en-US"/>
        </w:rPr>
        <w:t xml:space="preserve">Upgrading lighting is also the quickest and least intrusive part of the renovation process. Converting to smart LED lighting can reduce the built environment’s lighting-related energy consumption by up to 80%, offering carbon emissions reductions and bringing down electricity costs. And when LEDs are connected to a smart lighting management platform, the benefits multiply. A lighting system can be connected to other smart building technologies like sensors that can switch off lights in unoccupied rooms or adjust lighting levels in response to natural daylight conditions. Such systems can yield a 30% electricity saving over and above the savings from switching to LED. </w:t>
      </w:r>
      <w:r w:rsidR="006536CB">
        <w:rPr>
          <w:lang w:val="en-US"/>
        </w:rPr>
        <w:t>To add to the benefits</w:t>
      </w:r>
      <w:r w:rsidR="0082638C">
        <w:rPr>
          <w:lang w:val="en-US"/>
        </w:rPr>
        <w:t xml:space="preserve">, </w:t>
      </w:r>
      <w:r w:rsidR="0082638C">
        <w:t>LED lighting is one of the quickest renovations that dramatically cuts carbon - it does not require large capital investments and has a short payback tim</w:t>
      </w:r>
      <w:r w:rsidR="0082638C">
        <w:rPr>
          <w:lang w:val="en-GB"/>
        </w:rPr>
        <w:t>e.</w:t>
      </w:r>
      <w:r w:rsidR="006536CB">
        <w:rPr>
          <w:lang w:val="en-US"/>
        </w:rPr>
        <w:t xml:space="preserve"> </w:t>
      </w:r>
    </w:p>
    <w:p w14:paraId="57283588" w14:textId="77777777" w:rsidR="00CA42DA" w:rsidRDefault="00CA42DA" w:rsidP="00CA42DA">
      <w:pPr>
        <w:spacing w:after="0"/>
        <w:rPr>
          <w:lang w:val="en-US"/>
        </w:rPr>
      </w:pPr>
    </w:p>
    <w:p w14:paraId="3C9A7534" w14:textId="462C3ED5" w:rsidR="00CA42DA" w:rsidRDefault="00CA42DA" w:rsidP="00CA42DA">
      <w:pPr>
        <w:spacing w:after="0"/>
        <w:rPr>
          <w:lang w:val="en-US"/>
        </w:rPr>
      </w:pPr>
      <w:r>
        <w:rPr>
          <w:lang w:val="en-US"/>
        </w:rPr>
        <w:lastRenderedPageBreak/>
        <w:t>In the European Union, the Renovation Wave initiative aims to take on the challenge of upgrading Europe’s aging buildings to keep our emissions within agreed levels. The initiative aims to double Europe’s annual energy renovation rate in the next ten years. Such a plan yields multiple benefits, slashing emissions from our built environment while reducing energy poverty, improving quality of life, and creating skilled local jobs.</w:t>
      </w:r>
      <w:r w:rsidR="00820749">
        <w:rPr>
          <w:lang w:val="en-US"/>
        </w:rPr>
        <w:t xml:space="preserve"> </w:t>
      </w:r>
      <w:r w:rsidR="00820749" w:rsidRPr="00820749">
        <w:rPr>
          <w:lang w:val="en-US"/>
        </w:rPr>
        <w:t>The UK also has a resilience and recovery plan - The Ten Point Plan for a Green Industrial Revolution - which lays out a broad roadmap towards this goal and in particular its financing.</w:t>
      </w:r>
    </w:p>
    <w:p w14:paraId="0C8F1AB8" w14:textId="77777777" w:rsidR="00CA42DA" w:rsidRDefault="00CA42DA" w:rsidP="00CA42DA">
      <w:pPr>
        <w:spacing w:after="0"/>
        <w:rPr>
          <w:lang w:val="en-US"/>
        </w:rPr>
      </w:pPr>
    </w:p>
    <w:p w14:paraId="6900BB9D" w14:textId="77777777" w:rsidR="00CA42DA" w:rsidRPr="008C6011" w:rsidRDefault="00CA42DA" w:rsidP="00CA42DA">
      <w:pPr>
        <w:spacing w:after="0"/>
        <w:rPr>
          <w:lang w:val="en-US"/>
        </w:rPr>
      </w:pPr>
      <w:r>
        <w:rPr>
          <w:lang w:val="en-US"/>
        </w:rPr>
        <w:t>Replicating such a scheme globally will undoubtedly be challenging. But with so much at stake, and with quick and significant additional gains on the table, it’s high time for our built environment to take its place on the world’s most important agenda.</w:t>
      </w:r>
    </w:p>
    <w:p w14:paraId="4CB777E8" w14:textId="77777777" w:rsidR="008B796B" w:rsidRPr="0006099F" w:rsidRDefault="008B796B" w:rsidP="00CA42DA">
      <w:pPr>
        <w:spacing w:after="0"/>
        <w:rPr>
          <w:rFonts w:eastAsia="Times New Roman"/>
          <w:sz w:val="24"/>
          <w:szCs w:val="24"/>
          <w:lang w:val="en-US"/>
        </w:rPr>
      </w:pPr>
    </w:p>
    <w:p w14:paraId="46808F6D" w14:textId="77777777" w:rsidR="00D010FA" w:rsidRPr="0006099F" w:rsidRDefault="00D010FA" w:rsidP="00D010FA">
      <w:pPr>
        <w:spacing w:after="0"/>
        <w:rPr>
          <w:rFonts w:cstheme="minorHAnsi"/>
          <w:color w:val="3C3C41"/>
          <w:sz w:val="24"/>
          <w:szCs w:val="24"/>
        </w:rPr>
      </w:pPr>
    </w:p>
    <w:p w14:paraId="4D0B2057" w14:textId="77777777" w:rsidR="00D010FA" w:rsidRPr="00361E08" w:rsidRDefault="00D010FA" w:rsidP="00D010FA">
      <w:pPr>
        <w:spacing w:after="0"/>
        <w:rPr>
          <w:rFonts w:ascii="Muli" w:eastAsia="Times New Roman" w:hAnsi="Muli" w:cs="Segoe UI"/>
          <w:color w:val="212529"/>
          <w:sz w:val="24"/>
          <w:szCs w:val="24"/>
          <w:lang w:val="en-GB"/>
        </w:rPr>
      </w:pPr>
    </w:p>
    <w:p w14:paraId="3EE477FB" w14:textId="77777777" w:rsidR="00D010FA" w:rsidRDefault="00D010FA" w:rsidP="00D010FA">
      <w:pPr>
        <w:spacing w:after="0"/>
        <w:rPr>
          <w:lang w:val="en-GB"/>
        </w:rPr>
      </w:pPr>
      <w:r>
        <w:rPr>
          <w:rFonts w:eastAsia="Times New Roman"/>
        </w:rPr>
        <w:br/>
      </w:r>
      <w:r>
        <w:rPr>
          <w:rFonts w:eastAsia="Times New Roman"/>
        </w:rPr>
        <w:br/>
      </w:r>
      <w:r>
        <w:rPr>
          <w:lang w:val="en-GB"/>
        </w:rPr>
        <w:t>---------------------------------------------</w:t>
      </w:r>
    </w:p>
    <w:p w14:paraId="5DDBB1DF" w14:textId="77777777" w:rsidR="00D010FA" w:rsidRDefault="00D010FA" w:rsidP="00D010FA">
      <w:pPr>
        <w:spacing w:after="0"/>
        <w:rPr>
          <w:lang w:val="en-GB"/>
        </w:rPr>
      </w:pPr>
      <w:r>
        <w:rPr>
          <w:vertAlign w:val="superscript"/>
          <w:lang w:val="en-GB"/>
        </w:rPr>
        <w:t>1</w:t>
      </w:r>
      <w:r w:rsidRPr="00076FFF">
        <w:rPr>
          <w:vertAlign w:val="superscript"/>
          <w:lang w:val="en-GB"/>
        </w:rPr>
        <w:t xml:space="preserve"> </w:t>
      </w:r>
      <w:r w:rsidRPr="00076FFF">
        <w:rPr>
          <w:rFonts w:ascii="Tahoma" w:hAnsi="Tahoma" w:cs="Tahoma"/>
          <w:color w:val="3C3C3C"/>
          <w:sz w:val="16"/>
          <w:szCs w:val="16"/>
        </w:rPr>
        <w:t>UK&amp;I data presented here is a simulation within the framework of the Green Switch conventional light point conversion model, which is a program run by Signify to help its customers accelerate the switch to energy-efficient lighting products, systems and services. All figures and data presented here are illustrative and based on forecasts and assumptions.</w:t>
      </w:r>
    </w:p>
    <w:p w14:paraId="60C26A5D" w14:textId="77777777" w:rsidR="00032F65" w:rsidRPr="003C459A" w:rsidRDefault="00032F65" w:rsidP="00CA42DA">
      <w:pPr>
        <w:spacing w:after="0"/>
        <w:rPr>
          <w:rFonts w:cstheme="minorHAnsi"/>
          <w:color w:val="3C3C41"/>
          <w:sz w:val="24"/>
          <w:szCs w:val="24"/>
          <w:lang w:val="en-GB"/>
        </w:rPr>
      </w:pPr>
    </w:p>
    <w:p w14:paraId="0D687B73" w14:textId="77777777" w:rsidR="00032F65" w:rsidRPr="00361E08" w:rsidRDefault="00032F65" w:rsidP="00CA42DA">
      <w:pPr>
        <w:spacing w:after="0"/>
        <w:rPr>
          <w:rFonts w:ascii="Muli" w:eastAsia="Times New Roman" w:hAnsi="Muli" w:cs="Segoe UI"/>
          <w:color w:val="212529"/>
          <w:sz w:val="24"/>
          <w:szCs w:val="24"/>
          <w:lang w:val="en-GB"/>
        </w:rPr>
      </w:pPr>
    </w:p>
    <w:p w14:paraId="721877AD" w14:textId="6DB4BBCE" w:rsidR="00814416" w:rsidRDefault="00481F28" w:rsidP="00CA42DA">
      <w:pPr>
        <w:spacing w:after="0"/>
      </w:pPr>
      <w:r>
        <w:rPr>
          <w:rFonts w:eastAsia="Times New Roman"/>
        </w:rPr>
        <w:br/>
      </w:r>
      <w:r>
        <w:rPr>
          <w:rFonts w:eastAsia="Times New Roman"/>
        </w:rPr>
        <w:br/>
      </w:r>
    </w:p>
    <w:sectPr w:rsidR="0081441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A7D5" w14:textId="77777777" w:rsidR="009E47D9" w:rsidRDefault="009E47D9" w:rsidP="00481F28">
      <w:pPr>
        <w:spacing w:after="0" w:line="240" w:lineRule="auto"/>
      </w:pPr>
      <w:r>
        <w:separator/>
      </w:r>
    </w:p>
  </w:endnote>
  <w:endnote w:type="continuationSeparator" w:id="0">
    <w:p w14:paraId="5120B43E" w14:textId="77777777" w:rsidR="009E47D9" w:rsidRDefault="009E47D9" w:rsidP="0048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l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B2FB" w14:textId="77777777" w:rsidR="009E47D9" w:rsidRDefault="009E47D9" w:rsidP="00481F28">
      <w:pPr>
        <w:spacing w:after="0" w:line="240" w:lineRule="auto"/>
      </w:pPr>
      <w:r>
        <w:separator/>
      </w:r>
    </w:p>
  </w:footnote>
  <w:footnote w:type="continuationSeparator" w:id="0">
    <w:p w14:paraId="458C7795" w14:textId="77777777" w:rsidR="009E47D9" w:rsidRDefault="009E47D9" w:rsidP="0048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A684" w14:textId="111D5429" w:rsidR="00481F28" w:rsidRDefault="00481F28">
    <w:pPr>
      <w:pStyle w:val="Header"/>
    </w:pPr>
    <w:r>
      <w:rPr>
        <w:noProof/>
        <w:lang w:val="en-GB" w:eastAsia="en-GB"/>
      </w:rPr>
      <mc:AlternateContent>
        <mc:Choice Requires="wps">
          <w:drawing>
            <wp:anchor distT="0" distB="0" distL="114300" distR="114300" simplePos="0" relativeHeight="251658752" behindDoc="0" locked="0" layoutInCell="0" allowOverlap="1" wp14:anchorId="2D326B22" wp14:editId="03D45ABB">
              <wp:simplePos x="0" y="0"/>
              <wp:positionH relativeFrom="page">
                <wp:posOffset>0</wp:posOffset>
              </wp:positionH>
              <wp:positionV relativeFrom="page">
                <wp:posOffset>190500</wp:posOffset>
              </wp:positionV>
              <wp:extent cx="7560310" cy="273050"/>
              <wp:effectExtent l="0" t="0" r="0" b="12700"/>
              <wp:wrapNone/>
              <wp:docPr id="1" name="MSIPCM83a144059646edaed71476da" descr="{&quot;HashCode&quot;:144210095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1C3F5" w14:textId="4A09CB2D" w:rsidR="00481F28" w:rsidRPr="00481F28" w:rsidRDefault="00481F28" w:rsidP="00481F28">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326B22" id="_x0000_t202" coordsize="21600,21600" o:spt="202" path="m,l,21600r21600,l21600,xe">
              <v:stroke joinstyle="miter"/>
              <v:path gradientshapeok="t" o:connecttype="rect"/>
            </v:shapetype>
            <v:shape id="MSIPCM83a144059646edaed71476da" o:spid="_x0000_s1026" type="#_x0000_t202" alt="{&quot;HashCode&quot;:1442100953,&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zt+FOa8CAABHBQAADgAAAAAA&#10;AAAAAAAAAAAuAgAAZHJzL2Uyb0RvYy54bWxQSwECLQAUAAYACAAAACEAaQHeI9wAAAAHAQAADwAA&#10;AAAAAAAAAAAAAAAJBQAAZHJzL2Rvd25yZXYueG1sUEsFBgAAAAAEAAQA8wAAABIGAAAAAA==&#10;" o:allowincell="f" filled="f" stroked="f" strokeweight=".5pt">
              <v:textbox inset="20pt,0,,0">
                <w:txbxContent>
                  <w:p w14:paraId="06C1C3F5" w14:textId="4A09CB2D" w:rsidR="00481F28" w:rsidRPr="00481F28" w:rsidRDefault="00481F28" w:rsidP="00481F28">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489A"/>
    <w:multiLevelType w:val="hybridMultilevel"/>
    <w:tmpl w:val="141E4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E677CA3"/>
    <w:multiLevelType w:val="multilevel"/>
    <w:tmpl w:val="A798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D7D6E"/>
    <w:multiLevelType w:val="multilevel"/>
    <w:tmpl w:val="5744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90DDA"/>
    <w:multiLevelType w:val="hybridMultilevel"/>
    <w:tmpl w:val="DE642DD4"/>
    <w:lvl w:ilvl="0" w:tplc="3864A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537AA"/>
    <w:multiLevelType w:val="hybridMultilevel"/>
    <w:tmpl w:val="154AF5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2225CE"/>
    <w:multiLevelType w:val="hybridMultilevel"/>
    <w:tmpl w:val="0C80DDD0"/>
    <w:lvl w:ilvl="0" w:tplc="96A2515E">
      <w:numFmt w:val="bullet"/>
      <w:lvlText w:val="-"/>
      <w:lvlJc w:val="left"/>
      <w:pPr>
        <w:ind w:left="720" w:hanging="360"/>
      </w:pPr>
      <w:rPr>
        <w:rFonts w:ascii="Calibri" w:eastAsiaTheme="minorHAnsi" w:hAnsi="Calibri" w:cs="Calibri" w:hint="default"/>
        <w:b w:val="0"/>
        <w:i/>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D10E1"/>
    <w:multiLevelType w:val="hybridMultilevel"/>
    <w:tmpl w:val="7A4AE294"/>
    <w:lvl w:ilvl="0" w:tplc="08586F8A">
      <w:start w:val="1"/>
      <w:numFmt w:val="decimal"/>
      <w:lvlText w:val="%1)"/>
      <w:lvlJc w:val="left"/>
      <w:pPr>
        <w:tabs>
          <w:tab w:val="num" w:pos="720"/>
        </w:tabs>
        <w:ind w:left="720" w:hanging="360"/>
      </w:pPr>
      <w:rPr>
        <w:rFonts w:asciiTheme="minorHAnsi" w:eastAsiaTheme="minorHAnsi" w:hAnsiTheme="minorHAnsi" w:cstheme="minorBidi"/>
      </w:rPr>
    </w:lvl>
    <w:lvl w:ilvl="1" w:tplc="3C9ED1FE">
      <w:start w:val="1"/>
      <w:numFmt w:val="bullet"/>
      <w:lvlText w:val="•"/>
      <w:lvlJc w:val="left"/>
      <w:pPr>
        <w:tabs>
          <w:tab w:val="num" w:pos="1440"/>
        </w:tabs>
        <w:ind w:left="1440" w:hanging="360"/>
      </w:pPr>
      <w:rPr>
        <w:rFonts w:ascii="Arial" w:hAnsi="Arial" w:cs="Times New Roman" w:hint="default"/>
      </w:rPr>
    </w:lvl>
    <w:lvl w:ilvl="2" w:tplc="7DA82614">
      <w:start w:val="1"/>
      <w:numFmt w:val="bullet"/>
      <w:lvlText w:val="•"/>
      <w:lvlJc w:val="left"/>
      <w:pPr>
        <w:tabs>
          <w:tab w:val="num" w:pos="2160"/>
        </w:tabs>
        <w:ind w:left="2160" w:hanging="360"/>
      </w:pPr>
      <w:rPr>
        <w:rFonts w:ascii="Arial" w:hAnsi="Arial" w:cs="Times New Roman" w:hint="default"/>
      </w:rPr>
    </w:lvl>
    <w:lvl w:ilvl="3" w:tplc="4C525C26">
      <w:start w:val="1"/>
      <w:numFmt w:val="bullet"/>
      <w:lvlText w:val="•"/>
      <w:lvlJc w:val="left"/>
      <w:pPr>
        <w:tabs>
          <w:tab w:val="num" w:pos="2880"/>
        </w:tabs>
        <w:ind w:left="2880" w:hanging="360"/>
      </w:pPr>
      <w:rPr>
        <w:rFonts w:ascii="Arial" w:hAnsi="Arial" w:cs="Times New Roman" w:hint="default"/>
      </w:rPr>
    </w:lvl>
    <w:lvl w:ilvl="4" w:tplc="8974B160">
      <w:start w:val="1"/>
      <w:numFmt w:val="bullet"/>
      <w:lvlText w:val="•"/>
      <w:lvlJc w:val="left"/>
      <w:pPr>
        <w:tabs>
          <w:tab w:val="num" w:pos="3600"/>
        </w:tabs>
        <w:ind w:left="3600" w:hanging="360"/>
      </w:pPr>
      <w:rPr>
        <w:rFonts w:ascii="Arial" w:hAnsi="Arial" w:cs="Times New Roman" w:hint="default"/>
      </w:rPr>
    </w:lvl>
    <w:lvl w:ilvl="5" w:tplc="4F54B918">
      <w:start w:val="1"/>
      <w:numFmt w:val="bullet"/>
      <w:lvlText w:val="•"/>
      <w:lvlJc w:val="left"/>
      <w:pPr>
        <w:tabs>
          <w:tab w:val="num" w:pos="4320"/>
        </w:tabs>
        <w:ind w:left="4320" w:hanging="360"/>
      </w:pPr>
      <w:rPr>
        <w:rFonts w:ascii="Arial" w:hAnsi="Arial" w:cs="Times New Roman" w:hint="default"/>
      </w:rPr>
    </w:lvl>
    <w:lvl w:ilvl="6" w:tplc="823E10A6">
      <w:start w:val="1"/>
      <w:numFmt w:val="bullet"/>
      <w:lvlText w:val="•"/>
      <w:lvlJc w:val="left"/>
      <w:pPr>
        <w:tabs>
          <w:tab w:val="num" w:pos="5040"/>
        </w:tabs>
        <w:ind w:left="5040" w:hanging="360"/>
      </w:pPr>
      <w:rPr>
        <w:rFonts w:ascii="Arial" w:hAnsi="Arial" w:cs="Times New Roman" w:hint="default"/>
      </w:rPr>
    </w:lvl>
    <w:lvl w:ilvl="7" w:tplc="1FAC70B2">
      <w:start w:val="1"/>
      <w:numFmt w:val="bullet"/>
      <w:lvlText w:val="•"/>
      <w:lvlJc w:val="left"/>
      <w:pPr>
        <w:tabs>
          <w:tab w:val="num" w:pos="5760"/>
        </w:tabs>
        <w:ind w:left="5760" w:hanging="360"/>
      </w:pPr>
      <w:rPr>
        <w:rFonts w:ascii="Arial" w:hAnsi="Arial" w:cs="Times New Roman" w:hint="default"/>
      </w:rPr>
    </w:lvl>
    <w:lvl w:ilvl="8" w:tplc="D30054E0">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I0tbSwtLQEkko6SsGpxcWZ+XkgBca1AHXeWNIsAAAA"/>
  </w:docVars>
  <w:rsids>
    <w:rsidRoot w:val="00481F28"/>
    <w:rsid w:val="0000528E"/>
    <w:rsid w:val="000068F0"/>
    <w:rsid w:val="00025808"/>
    <w:rsid w:val="00032F65"/>
    <w:rsid w:val="0005600F"/>
    <w:rsid w:val="00060479"/>
    <w:rsid w:val="000605AC"/>
    <w:rsid w:val="0006099F"/>
    <w:rsid w:val="00080AB4"/>
    <w:rsid w:val="000B034F"/>
    <w:rsid w:val="000C444E"/>
    <w:rsid w:val="000C6376"/>
    <w:rsid w:val="000D119F"/>
    <w:rsid w:val="000D1D9E"/>
    <w:rsid w:val="000D766A"/>
    <w:rsid w:val="00104A2F"/>
    <w:rsid w:val="00121E35"/>
    <w:rsid w:val="001232DC"/>
    <w:rsid w:val="00156384"/>
    <w:rsid w:val="00183164"/>
    <w:rsid w:val="00193E51"/>
    <w:rsid w:val="00194136"/>
    <w:rsid w:val="00196606"/>
    <w:rsid w:val="00197692"/>
    <w:rsid w:val="001C57B6"/>
    <w:rsid w:val="0020135F"/>
    <w:rsid w:val="00202164"/>
    <w:rsid w:val="00215700"/>
    <w:rsid w:val="00227631"/>
    <w:rsid w:val="0024441F"/>
    <w:rsid w:val="00252036"/>
    <w:rsid w:val="00277969"/>
    <w:rsid w:val="00291C17"/>
    <w:rsid w:val="002B4690"/>
    <w:rsid w:val="002C3CFB"/>
    <w:rsid w:val="002C445C"/>
    <w:rsid w:val="002C4C56"/>
    <w:rsid w:val="002D2543"/>
    <w:rsid w:val="002D2678"/>
    <w:rsid w:val="00300ABA"/>
    <w:rsid w:val="003150A8"/>
    <w:rsid w:val="0032525B"/>
    <w:rsid w:val="00337340"/>
    <w:rsid w:val="00343E7B"/>
    <w:rsid w:val="00361E08"/>
    <w:rsid w:val="00362532"/>
    <w:rsid w:val="003645B4"/>
    <w:rsid w:val="00372CCE"/>
    <w:rsid w:val="003734B5"/>
    <w:rsid w:val="00382724"/>
    <w:rsid w:val="0038358C"/>
    <w:rsid w:val="00393668"/>
    <w:rsid w:val="003946F4"/>
    <w:rsid w:val="003B186B"/>
    <w:rsid w:val="003B40B0"/>
    <w:rsid w:val="003B5B96"/>
    <w:rsid w:val="003C459A"/>
    <w:rsid w:val="003D6D14"/>
    <w:rsid w:val="00405B14"/>
    <w:rsid w:val="00466A93"/>
    <w:rsid w:val="00481F28"/>
    <w:rsid w:val="004A7D6C"/>
    <w:rsid w:val="004D396C"/>
    <w:rsid w:val="004F4824"/>
    <w:rsid w:val="005019B4"/>
    <w:rsid w:val="005306FF"/>
    <w:rsid w:val="00540B18"/>
    <w:rsid w:val="0056010E"/>
    <w:rsid w:val="005B6D74"/>
    <w:rsid w:val="005D5B1A"/>
    <w:rsid w:val="005F6730"/>
    <w:rsid w:val="00605DB8"/>
    <w:rsid w:val="006108CE"/>
    <w:rsid w:val="00610C7D"/>
    <w:rsid w:val="00631616"/>
    <w:rsid w:val="006331CF"/>
    <w:rsid w:val="00633444"/>
    <w:rsid w:val="00637307"/>
    <w:rsid w:val="006536CB"/>
    <w:rsid w:val="00670DA9"/>
    <w:rsid w:val="00676B02"/>
    <w:rsid w:val="0068671E"/>
    <w:rsid w:val="00692FCF"/>
    <w:rsid w:val="006B22D8"/>
    <w:rsid w:val="00712935"/>
    <w:rsid w:val="00713C73"/>
    <w:rsid w:val="00714E48"/>
    <w:rsid w:val="0071763A"/>
    <w:rsid w:val="00725566"/>
    <w:rsid w:val="00726753"/>
    <w:rsid w:val="007615D5"/>
    <w:rsid w:val="007619FA"/>
    <w:rsid w:val="00777050"/>
    <w:rsid w:val="00777D19"/>
    <w:rsid w:val="007863FA"/>
    <w:rsid w:val="0079076A"/>
    <w:rsid w:val="007A0EA3"/>
    <w:rsid w:val="007C0F49"/>
    <w:rsid w:val="007D6018"/>
    <w:rsid w:val="007E4176"/>
    <w:rsid w:val="007F50DB"/>
    <w:rsid w:val="00813C04"/>
    <w:rsid w:val="00814416"/>
    <w:rsid w:val="00820749"/>
    <w:rsid w:val="0082186E"/>
    <w:rsid w:val="008252EC"/>
    <w:rsid w:val="0082638C"/>
    <w:rsid w:val="008311F3"/>
    <w:rsid w:val="00846D02"/>
    <w:rsid w:val="00891618"/>
    <w:rsid w:val="008B796B"/>
    <w:rsid w:val="008E140F"/>
    <w:rsid w:val="008F5025"/>
    <w:rsid w:val="009079FA"/>
    <w:rsid w:val="00910FC6"/>
    <w:rsid w:val="009201B4"/>
    <w:rsid w:val="00925085"/>
    <w:rsid w:val="0095595B"/>
    <w:rsid w:val="009923D8"/>
    <w:rsid w:val="0099435A"/>
    <w:rsid w:val="009B03E0"/>
    <w:rsid w:val="009B4235"/>
    <w:rsid w:val="009B5F55"/>
    <w:rsid w:val="009B7123"/>
    <w:rsid w:val="009D0C27"/>
    <w:rsid w:val="009D4FCD"/>
    <w:rsid w:val="009E47D9"/>
    <w:rsid w:val="009F0BA4"/>
    <w:rsid w:val="009F2CEB"/>
    <w:rsid w:val="00A04D02"/>
    <w:rsid w:val="00A310FF"/>
    <w:rsid w:val="00A4311A"/>
    <w:rsid w:val="00A45549"/>
    <w:rsid w:val="00A77199"/>
    <w:rsid w:val="00A8095E"/>
    <w:rsid w:val="00A8461F"/>
    <w:rsid w:val="00AA3D17"/>
    <w:rsid w:val="00AB5CA6"/>
    <w:rsid w:val="00AD4BE2"/>
    <w:rsid w:val="00AE112B"/>
    <w:rsid w:val="00B02AB9"/>
    <w:rsid w:val="00B45549"/>
    <w:rsid w:val="00B56B97"/>
    <w:rsid w:val="00B63A37"/>
    <w:rsid w:val="00B7131F"/>
    <w:rsid w:val="00B961A7"/>
    <w:rsid w:val="00BA1A32"/>
    <w:rsid w:val="00BB2410"/>
    <w:rsid w:val="00BB76A1"/>
    <w:rsid w:val="00BE413F"/>
    <w:rsid w:val="00C47A0F"/>
    <w:rsid w:val="00C95C94"/>
    <w:rsid w:val="00CA42DA"/>
    <w:rsid w:val="00CA531B"/>
    <w:rsid w:val="00CB2B31"/>
    <w:rsid w:val="00CE1CCB"/>
    <w:rsid w:val="00CE6DCA"/>
    <w:rsid w:val="00CF3216"/>
    <w:rsid w:val="00CF7BEE"/>
    <w:rsid w:val="00D010FA"/>
    <w:rsid w:val="00D30E9C"/>
    <w:rsid w:val="00D33E73"/>
    <w:rsid w:val="00D47C14"/>
    <w:rsid w:val="00D64318"/>
    <w:rsid w:val="00D81CD6"/>
    <w:rsid w:val="00D90B0F"/>
    <w:rsid w:val="00DB320B"/>
    <w:rsid w:val="00DB3B86"/>
    <w:rsid w:val="00DB4167"/>
    <w:rsid w:val="00DB450B"/>
    <w:rsid w:val="00DB7D26"/>
    <w:rsid w:val="00DC119A"/>
    <w:rsid w:val="00DE7AF4"/>
    <w:rsid w:val="00DF19CA"/>
    <w:rsid w:val="00DF41DD"/>
    <w:rsid w:val="00E02376"/>
    <w:rsid w:val="00E0634B"/>
    <w:rsid w:val="00E112C8"/>
    <w:rsid w:val="00E132E5"/>
    <w:rsid w:val="00E15330"/>
    <w:rsid w:val="00E17BB1"/>
    <w:rsid w:val="00E2603E"/>
    <w:rsid w:val="00E532CC"/>
    <w:rsid w:val="00E54D65"/>
    <w:rsid w:val="00E76C83"/>
    <w:rsid w:val="00E91FC8"/>
    <w:rsid w:val="00EA7F13"/>
    <w:rsid w:val="00EB5DA1"/>
    <w:rsid w:val="00ED7C57"/>
    <w:rsid w:val="00EE53A3"/>
    <w:rsid w:val="00F12354"/>
    <w:rsid w:val="00F2091E"/>
    <w:rsid w:val="00F217CA"/>
    <w:rsid w:val="00F375EF"/>
    <w:rsid w:val="00F40495"/>
    <w:rsid w:val="00F630C1"/>
    <w:rsid w:val="00F67DDC"/>
    <w:rsid w:val="00F706CA"/>
    <w:rsid w:val="00F71D53"/>
    <w:rsid w:val="00F7396F"/>
    <w:rsid w:val="00F81A3C"/>
    <w:rsid w:val="00F81D17"/>
    <w:rsid w:val="00F95A33"/>
    <w:rsid w:val="00FB62E2"/>
    <w:rsid w:val="00FD1E79"/>
    <w:rsid w:val="00FF3854"/>
    <w:rsid w:val="00FF5B06"/>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BA41"/>
  <w15:chartTrackingRefBased/>
  <w15:docId w15:val="{8999D0E0-3824-4945-AB02-2A8BEDBC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14E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F375EF"/>
    <w:pPr>
      <w:spacing w:after="225" w:line="420" w:lineRule="atLeast"/>
      <w:outlineLvl w:val="5"/>
    </w:pPr>
    <w:rPr>
      <w:rFonts w:ascii="Oswald" w:eastAsia="Times New Roman" w:hAnsi="Oswald" w:cs="Times New Roman"/>
      <w:caps/>
      <w:color w:val="24292E"/>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28"/>
  </w:style>
  <w:style w:type="paragraph" w:styleId="Footer">
    <w:name w:val="footer"/>
    <w:basedOn w:val="Normal"/>
    <w:link w:val="FooterChar"/>
    <w:uiPriority w:val="99"/>
    <w:unhideWhenUsed/>
    <w:rsid w:val="0048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28"/>
  </w:style>
  <w:style w:type="character" w:styleId="Strong">
    <w:name w:val="Strong"/>
    <w:basedOn w:val="DefaultParagraphFont"/>
    <w:uiPriority w:val="22"/>
    <w:qFormat/>
    <w:rsid w:val="00361E08"/>
    <w:rPr>
      <w:b/>
      <w:bCs/>
    </w:rPr>
  </w:style>
  <w:style w:type="paragraph" w:styleId="CommentText">
    <w:name w:val="annotation text"/>
    <w:basedOn w:val="Normal"/>
    <w:link w:val="CommentTextChar"/>
    <w:uiPriority w:val="99"/>
    <w:unhideWhenUsed/>
    <w:rsid w:val="00032F65"/>
    <w:pPr>
      <w:spacing w:line="240" w:lineRule="auto"/>
    </w:pPr>
    <w:rPr>
      <w:sz w:val="20"/>
      <w:szCs w:val="20"/>
    </w:rPr>
  </w:style>
  <w:style w:type="character" w:customStyle="1" w:styleId="CommentTextChar">
    <w:name w:val="Comment Text Char"/>
    <w:basedOn w:val="DefaultParagraphFont"/>
    <w:link w:val="CommentText"/>
    <w:uiPriority w:val="99"/>
    <w:rsid w:val="00032F65"/>
    <w:rPr>
      <w:sz w:val="20"/>
      <w:szCs w:val="20"/>
    </w:rPr>
  </w:style>
  <w:style w:type="paragraph" w:styleId="ListParagraph">
    <w:name w:val="List Paragraph"/>
    <w:basedOn w:val="Normal"/>
    <w:uiPriority w:val="34"/>
    <w:qFormat/>
    <w:rsid w:val="00032F65"/>
    <w:pPr>
      <w:spacing w:after="0" w:line="240" w:lineRule="auto"/>
      <w:ind w:left="720"/>
      <w:contextualSpacing/>
    </w:pPr>
    <w:rPr>
      <w:rFonts w:ascii="Calibri" w:eastAsia="Times New Roman" w:hAnsi="Calibri" w:cs="Times New Roman"/>
      <w:szCs w:val="20"/>
      <w:lang w:val="en-US" w:eastAsia="de-DE"/>
    </w:rPr>
  </w:style>
  <w:style w:type="character" w:styleId="CommentReference">
    <w:name w:val="annotation reference"/>
    <w:basedOn w:val="DefaultParagraphFont"/>
    <w:uiPriority w:val="99"/>
    <w:semiHidden/>
    <w:unhideWhenUsed/>
    <w:rsid w:val="00032F65"/>
    <w:rPr>
      <w:sz w:val="16"/>
      <w:szCs w:val="16"/>
    </w:rPr>
  </w:style>
  <w:style w:type="paragraph" w:styleId="CommentSubject">
    <w:name w:val="annotation subject"/>
    <w:basedOn w:val="CommentText"/>
    <w:next w:val="CommentText"/>
    <w:link w:val="CommentSubjectChar"/>
    <w:uiPriority w:val="99"/>
    <w:semiHidden/>
    <w:unhideWhenUsed/>
    <w:rsid w:val="006331CF"/>
    <w:rPr>
      <w:b/>
      <w:bCs/>
    </w:rPr>
  </w:style>
  <w:style w:type="character" w:customStyle="1" w:styleId="CommentSubjectChar">
    <w:name w:val="Comment Subject Char"/>
    <w:basedOn w:val="CommentTextChar"/>
    <w:link w:val="CommentSubject"/>
    <w:uiPriority w:val="99"/>
    <w:semiHidden/>
    <w:rsid w:val="006331CF"/>
    <w:rPr>
      <w:b/>
      <w:bCs/>
      <w:sz w:val="20"/>
      <w:szCs w:val="20"/>
    </w:rPr>
  </w:style>
  <w:style w:type="character" w:customStyle="1" w:styleId="Heading6Char">
    <w:name w:val="Heading 6 Char"/>
    <w:basedOn w:val="DefaultParagraphFont"/>
    <w:link w:val="Heading6"/>
    <w:uiPriority w:val="9"/>
    <w:rsid w:val="00F375EF"/>
    <w:rPr>
      <w:rFonts w:ascii="Oswald" w:eastAsia="Times New Roman" w:hAnsi="Oswald" w:cs="Times New Roman"/>
      <w:caps/>
      <w:color w:val="24292E"/>
      <w:sz w:val="15"/>
      <w:szCs w:val="15"/>
      <w:lang w:val="en-US"/>
    </w:rPr>
  </w:style>
  <w:style w:type="character" w:styleId="Hyperlink">
    <w:name w:val="Hyperlink"/>
    <w:basedOn w:val="DefaultParagraphFont"/>
    <w:uiPriority w:val="99"/>
    <w:unhideWhenUsed/>
    <w:rsid w:val="001C57B6"/>
    <w:rPr>
      <w:color w:val="0563C1" w:themeColor="hyperlink"/>
      <w:u w:val="single"/>
    </w:rPr>
  </w:style>
  <w:style w:type="character" w:customStyle="1" w:styleId="UnresolvedMention1">
    <w:name w:val="Unresolved Mention1"/>
    <w:basedOn w:val="DefaultParagraphFont"/>
    <w:uiPriority w:val="99"/>
    <w:semiHidden/>
    <w:unhideWhenUsed/>
    <w:rsid w:val="001C57B6"/>
    <w:rPr>
      <w:color w:val="605E5C"/>
      <w:shd w:val="clear" w:color="auto" w:fill="E1DFDD"/>
    </w:rPr>
  </w:style>
  <w:style w:type="paragraph" w:styleId="BalloonText">
    <w:name w:val="Balloon Text"/>
    <w:basedOn w:val="Normal"/>
    <w:link w:val="BalloonTextChar"/>
    <w:uiPriority w:val="99"/>
    <w:semiHidden/>
    <w:unhideWhenUsed/>
    <w:rsid w:val="00E76C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6C8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B3B86"/>
    <w:pPr>
      <w:spacing w:after="0" w:line="240" w:lineRule="auto"/>
    </w:pPr>
    <w:rPr>
      <w:rFonts w:ascii="Calibri" w:eastAsia="Times New Roman" w:hAnsi="Calibri" w:cs="Times New Roman"/>
      <w:sz w:val="20"/>
      <w:szCs w:val="20"/>
      <w:lang w:val="en-US" w:eastAsia="de-DE"/>
    </w:rPr>
  </w:style>
  <w:style w:type="character" w:customStyle="1" w:styleId="FootnoteTextChar">
    <w:name w:val="Footnote Text Char"/>
    <w:basedOn w:val="DefaultParagraphFont"/>
    <w:link w:val="FootnoteText"/>
    <w:uiPriority w:val="99"/>
    <w:semiHidden/>
    <w:rsid w:val="00DB3B86"/>
    <w:rPr>
      <w:rFonts w:ascii="Calibri" w:eastAsia="Times New Roman" w:hAnsi="Calibri" w:cs="Times New Roman"/>
      <w:sz w:val="20"/>
      <w:szCs w:val="20"/>
      <w:lang w:val="en-US" w:eastAsia="de-DE"/>
    </w:rPr>
  </w:style>
  <w:style w:type="character" w:styleId="FootnoteReference">
    <w:name w:val="footnote reference"/>
    <w:basedOn w:val="DefaultParagraphFont"/>
    <w:uiPriority w:val="99"/>
    <w:semiHidden/>
    <w:unhideWhenUsed/>
    <w:rsid w:val="00DB3B86"/>
    <w:rPr>
      <w:vertAlign w:val="superscript"/>
    </w:rPr>
  </w:style>
  <w:style w:type="character" w:styleId="UnresolvedMention">
    <w:name w:val="Unresolved Mention"/>
    <w:basedOn w:val="DefaultParagraphFont"/>
    <w:uiPriority w:val="99"/>
    <w:rsid w:val="00714E48"/>
    <w:rPr>
      <w:color w:val="605E5C"/>
      <w:shd w:val="clear" w:color="auto" w:fill="E1DFDD"/>
    </w:rPr>
  </w:style>
  <w:style w:type="character" w:customStyle="1" w:styleId="Heading3Char">
    <w:name w:val="Heading 3 Char"/>
    <w:basedOn w:val="DefaultParagraphFont"/>
    <w:link w:val="Heading3"/>
    <w:uiPriority w:val="9"/>
    <w:semiHidden/>
    <w:rsid w:val="00714E4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14E48"/>
    <w:pPr>
      <w:spacing w:before="100" w:beforeAutospacing="1" w:after="100" w:afterAutospacing="1" w:line="240" w:lineRule="auto"/>
    </w:pPr>
    <w:rPr>
      <w:rFonts w:ascii="MS PGothic" w:eastAsia="MS PGothic" w:hAnsi="MS PGothic" w:cs="MS PGothic"/>
      <w:sz w:val="24"/>
      <w:szCs w:val="24"/>
      <w:lang w:val="en-US" w:eastAsia="ja-JP"/>
    </w:rPr>
  </w:style>
  <w:style w:type="table" w:styleId="TableGrid">
    <w:name w:val="Table Grid"/>
    <w:basedOn w:val="TableNormal"/>
    <w:uiPriority w:val="39"/>
    <w:rsid w:val="0071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42DA"/>
    <w:rPr>
      <w:color w:val="954F72" w:themeColor="followedHyperlink"/>
      <w:u w:val="single"/>
    </w:rPr>
  </w:style>
  <w:style w:type="paragraph" w:styleId="Revision">
    <w:name w:val="Revision"/>
    <w:hidden/>
    <w:uiPriority w:val="99"/>
    <w:semiHidden/>
    <w:rsid w:val="00300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4283">
      <w:bodyDiv w:val="1"/>
      <w:marLeft w:val="0"/>
      <w:marRight w:val="0"/>
      <w:marTop w:val="0"/>
      <w:marBottom w:val="0"/>
      <w:divBdr>
        <w:top w:val="none" w:sz="0" w:space="0" w:color="auto"/>
        <w:left w:val="none" w:sz="0" w:space="0" w:color="auto"/>
        <w:bottom w:val="none" w:sz="0" w:space="0" w:color="auto"/>
        <w:right w:val="none" w:sz="0" w:space="0" w:color="auto"/>
      </w:divBdr>
    </w:div>
    <w:div w:id="1082487748">
      <w:bodyDiv w:val="1"/>
      <w:marLeft w:val="0"/>
      <w:marRight w:val="0"/>
      <w:marTop w:val="0"/>
      <w:marBottom w:val="0"/>
      <w:divBdr>
        <w:top w:val="none" w:sz="0" w:space="0" w:color="auto"/>
        <w:left w:val="none" w:sz="0" w:space="0" w:color="auto"/>
        <w:bottom w:val="none" w:sz="0" w:space="0" w:color="auto"/>
        <w:right w:val="none" w:sz="0" w:space="0" w:color="auto"/>
      </w:divBdr>
      <w:divsChild>
        <w:div w:id="1243249414">
          <w:marLeft w:val="0"/>
          <w:marRight w:val="0"/>
          <w:marTop w:val="0"/>
          <w:marBottom w:val="0"/>
          <w:divBdr>
            <w:top w:val="none" w:sz="0" w:space="0" w:color="auto"/>
            <w:left w:val="none" w:sz="0" w:space="0" w:color="auto"/>
            <w:bottom w:val="none" w:sz="0" w:space="0" w:color="auto"/>
            <w:right w:val="none" w:sz="0" w:space="0" w:color="auto"/>
          </w:divBdr>
          <w:divsChild>
            <w:div w:id="848183342">
              <w:marLeft w:val="0"/>
              <w:marRight w:val="0"/>
              <w:marTop w:val="0"/>
              <w:marBottom w:val="0"/>
              <w:divBdr>
                <w:top w:val="none" w:sz="0" w:space="0" w:color="auto"/>
                <w:left w:val="none" w:sz="0" w:space="0" w:color="auto"/>
                <w:bottom w:val="none" w:sz="0" w:space="0" w:color="auto"/>
                <w:right w:val="none" w:sz="0" w:space="0" w:color="auto"/>
              </w:divBdr>
              <w:divsChild>
                <w:div w:id="36777405">
                  <w:marLeft w:val="0"/>
                  <w:marRight w:val="0"/>
                  <w:marTop w:val="0"/>
                  <w:marBottom w:val="0"/>
                  <w:divBdr>
                    <w:top w:val="none" w:sz="0" w:space="0" w:color="auto"/>
                    <w:left w:val="none" w:sz="0" w:space="0" w:color="auto"/>
                    <w:bottom w:val="none" w:sz="0" w:space="0" w:color="auto"/>
                    <w:right w:val="none" w:sz="0" w:space="0" w:color="auto"/>
                  </w:divBdr>
                  <w:divsChild>
                    <w:div w:id="1981300283">
                      <w:marLeft w:val="0"/>
                      <w:marRight w:val="0"/>
                      <w:marTop w:val="360"/>
                      <w:marBottom w:val="0"/>
                      <w:divBdr>
                        <w:top w:val="none" w:sz="0" w:space="0" w:color="auto"/>
                        <w:left w:val="none" w:sz="0" w:space="0" w:color="auto"/>
                        <w:bottom w:val="none" w:sz="0" w:space="0" w:color="auto"/>
                        <w:right w:val="none" w:sz="0" w:space="0" w:color="auto"/>
                      </w:divBdr>
                      <w:divsChild>
                        <w:div w:id="2085107232">
                          <w:marLeft w:val="0"/>
                          <w:marRight w:val="0"/>
                          <w:marTop w:val="0"/>
                          <w:marBottom w:val="0"/>
                          <w:divBdr>
                            <w:top w:val="none" w:sz="0" w:space="0" w:color="auto"/>
                            <w:left w:val="none" w:sz="0" w:space="0" w:color="auto"/>
                            <w:bottom w:val="none" w:sz="0" w:space="0" w:color="auto"/>
                            <w:right w:val="none" w:sz="0" w:space="0" w:color="auto"/>
                          </w:divBdr>
                          <w:divsChild>
                            <w:div w:id="1867407820">
                              <w:marLeft w:val="-225"/>
                              <w:marRight w:val="-225"/>
                              <w:marTop w:val="0"/>
                              <w:marBottom w:val="0"/>
                              <w:divBdr>
                                <w:top w:val="none" w:sz="0" w:space="0" w:color="auto"/>
                                <w:left w:val="none" w:sz="0" w:space="0" w:color="auto"/>
                                <w:bottom w:val="none" w:sz="0" w:space="0" w:color="auto"/>
                                <w:right w:val="none" w:sz="0" w:space="0" w:color="auto"/>
                              </w:divBdr>
                              <w:divsChild>
                                <w:div w:id="17218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2360">
      <w:bodyDiv w:val="1"/>
      <w:marLeft w:val="0"/>
      <w:marRight w:val="0"/>
      <w:marTop w:val="0"/>
      <w:marBottom w:val="0"/>
      <w:divBdr>
        <w:top w:val="none" w:sz="0" w:space="0" w:color="auto"/>
        <w:left w:val="none" w:sz="0" w:space="0" w:color="auto"/>
        <w:bottom w:val="none" w:sz="0" w:space="0" w:color="auto"/>
        <w:right w:val="none" w:sz="0" w:space="0" w:color="auto"/>
      </w:divBdr>
    </w:div>
    <w:div w:id="1353144448">
      <w:bodyDiv w:val="1"/>
      <w:marLeft w:val="0"/>
      <w:marRight w:val="0"/>
      <w:marTop w:val="0"/>
      <w:marBottom w:val="0"/>
      <w:divBdr>
        <w:top w:val="none" w:sz="0" w:space="0" w:color="auto"/>
        <w:left w:val="none" w:sz="0" w:space="0" w:color="auto"/>
        <w:bottom w:val="none" w:sz="0" w:space="0" w:color="auto"/>
        <w:right w:val="none" w:sz="0" w:space="0" w:color="auto"/>
      </w:divBdr>
    </w:div>
    <w:div w:id="1752577018">
      <w:bodyDiv w:val="1"/>
      <w:marLeft w:val="0"/>
      <w:marRight w:val="0"/>
      <w:marTop w:val="0"/>
      <w:marBottom w:val="0"/>
      <w:divBdr>
        <w:top w:val="none" w:sz="0" w:space="0" w:color="auto"/>
        <w:left w:val="none" w:sz="0" w:space="0" w:color="auto"/>
        <w:bottom w:val="none" w:sz="0" w:space="0" w:color="auto"/>
        <w:right w:val="none" w:sz="0" w:space="0" w:color="auto"/>
      </w:divBdr>
      <w:divsChild>
        <w:div w:id="1534197979">
          <w:marLeft w:val="0"/>
          <w:marRight w:val="0"/>
          <w:marTop w:val="0"/>
          <w:marBottom w:val="0"/>
          <w:divBdr>
            <w:top w:val="none" w:sz="0" w:space="0" w:color="auto"/>
            <w:left w:val="none" w:sz="0" w:space="0" w:color="auto"/>
            <w:bottom w:val="none" w:sz="0" w:space="0" w:color="auto"/>
            <w:right w:val="none" w:sz="0" w:space="0" w:color="auto"/>
          </w:divBdr>
        </w:div>
      </w:divsChild>
    </w:div>
    <w:div w:id="1939439310">
      <w:bodyDiv w:val="1"/>
      <w:marLeft w:val="0"/>
      <w:marRight w:val="0"/>
      <w:marTop w:val="0"/>
      <w:marBottom w:val="0"/>
      <w:divBdr>
        <w:top w:val="none" w:sz="0" w:space="0" w:color="auto"/>
        <w:left w:val="none" w:sz="0" w:space="0" w:color="auto"/>
        <w:bottom w:val="none" w:sz="0" w:space="0" w:color="auto"/>
        <w:right w:val="none" w:sz="0" w:space="0" w:color="auto"/>
      </w:divBdr>
      <w:divsChild>
        <w:div w:id="302538428">
          <w:marLeft w:val="0"/>
          <w:marRight w:val="0"/>
          <w:marTop w:val="0"/>
          <w:marBottom w:val="0"/>
          <w:divBdr>
            <w:top w:val="none" w:sz="0" w:space="0" w:color="auto"/>
            <w:left w:val="none" w:sz="0" w:space="0" w:color="auto"/>
            <w:bottom w:val="none" w:sz="0" w:space="0" w:color="auto"/>
            <w:right w:val="none" w:sz="0" w:space="0" w:color="auto"/>
          </w:divBdr>
          <w:divsChild>
            <w:div w:id="1511142931">
              <w:marLeft w:val="0"/>
              <w:marRight w:val="0"/>
              <w:marTop w:val="0"/>
              <w:marBottom w:val="0"/>
              <w:divBdr>
                <w:top w:val="none" w:sz="0" w:space="0" w:color="auto"/>
                <w:left w:val="none" w:sz="0" w:space="0" w:color="auto"/>
                <w:bottom w:val="none" w:sz="0" w:space="0" w:color="auto"/>
                <w:right w:val="none" w:sz="0" w:space="0" w:color="auto"/>
              </w:divBdr>
              <w:divsChild>
                <w:div w:id="1008753346">
                  <w:marLeft w:val="0"/>
                  <w:marRight w:val="0"/>
                  <w:marTop w:val="0"/>
                  <w:marBottom w:val="0"/>
                  <w:divBdr>
                    <w:top w:val="none" w:sz="0" w:space="0" w:color="auto"/>
                    <w:left w:val="none" w:sz="0" w:space="0" w:color="auto"/>
                    <w:bottom w:val="none" w:sz="0" w:space="0" w:color="auto"/>
                    <w:right w:val="none" w:sz="0" w:space="0" w:color="auto"/>
                  </w:divBdr>
                  <w:divsChild>
                    <w:div w:id="1831824920">
                      <w:marLeft w:val="0"/>
                      <w:marRight w:val="0"/>
                      <w:marTop w:val="360"/>
                      <w:marBottom w:val="0"/>
                      <w:divBdr>
                        <w:top w:val="none" w:sz="0" w:space="0" w:color="auto"/>
                        <w:left w:val="none" w:sz="0" w:space="0" w:color="auto"/>
                        <w:bottom w:val="none" w:sz="0" w:space="0" w:color="auto"/>
                        <w:right w:val="none" w:sz="0" w:space="0" w:color="auto"/>
                      </w:divBdr>
                      <w:divsChild>
                        <w:div w:id="1172988984">
                          <w:marLeft w:val="0"/>
                          <w:marRight w:val="0"/>
                          <w:marTop w:val="0"/>
                          <w:marBottom w:val="0"/>
                          <w:divBdr>
                            <w:top w:val="none" w:sz="0" w:space="0" w:color="auto"/>
                            <w:left w:val="none" w:sz="0" w:space="0" w:color="auto"/>
                            <w:bottom w:val="none" w:sz="0" w:space="0" w:color="auto"/>
                            <w:right w:val="none" w:sz="0" w:space="0" w:color="auto"/>
                          </w:divBdr>
                          <w:divsChild>
                            <w:div w:id="2092189529">
                              <w:marLeft w:val="-225"/>
                              <w:marRight w:val="-225"/>
                              <w:marTop w:val="0"/>
                              <w:marBottom w:val="0"/>
                              <w:divBdr>
                                <w:top w:val="none" w:sz="0" w:space="0" w:color="auto"/>
                                <w:left w:val="none" w:sz="0" w:space="0" w:color="auto"/>
                                <w:bottom w:val="none" w:sz="0" w:space="0" w:color="auto"/>
                                <w:right w:val="none" w:sz="0" w:space="0" w:color="auto"/>
                              </w:divBdr>
                              <w:divsChild>
                                <w:div w:id="1472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1BEB45ED1E445AA95270686325506" ma:contentTypeVersion="14" ma:contentTypeDescription="Create a new document." ma:contentTypeScope="" ma:versionID="0dfd4594989659d0ed144695a56d48aa">
  <xsd:schema xmlns:xsd="http://www.w3.org/2001/XMLSchema" xmlns:xs="http://www.w3.org/2001/XMLSchema" xmlns:p="http://schemas.microsoft.com/office/2006/metadata/properties" xmlns:ns3="8a1bed5d-9c72-4492-b329-20da78c113e3" xmlns:ns4="9c490aab-4ee7-4641-9427-ef9546a76dda" targetNamespace="http://schemas.microsoft.com/office/2006/metadata/properties" ma:root="true" ma:fieldsID="6e054c469415d4ebabb6d540f5d6a63b" ns3:_="" ns4:_="">
    <xsd:import namespace="8a1bed5d-9c72-4492-b329-20da78c113e3"/>
    <xsd:import namespace="9c490aab-4ee7-4641-9427-ef9546a76d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ed5d-9c72-4492-b329-20da78c113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90aab-4ee7-4641-9427-ef9546a76d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158D3-BEC5-4A12-95F9-91291A848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51290-D785-479D-B0EE-A3319E4E6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ed5d-9c72-4492-b329-20da78c113e3"/>
    <ds:schemaRef ds:uri="9c490aab-4ee7-4641-9427-ef9546a7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A40E8-6D5E-4CD4-9B16-6A288D9B4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Moorhouse</dc:creator>
  <cp:keywords/>
  <dc:description/>
  <cp:lastModifiedBy>Duncan2, Catriona (Infrastructure &amp; Materials)</cp:lastModifiedBy>
  <cp:revision>4</cp:revision>
  <dcterms:created xsi:type="dcterms:W3CDTF">2021-11-12T14:27:00Z</dcterms:created>
  <dcterms:modified xsi:type="dcterms:W3CDTF">2021-11-17T11:42:00Z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0x01010093B1BEB45ED1E445AA95270686325506</vt:lpwstr>
  </property>
  <property fmtid="{D5CDD505-2E9C-101B-9397-08002B2CF9AE}" pid="3" name="MSIP_Label_00f7727a-510c-40ce-a418-7fdfc8e6513f_Enabled">
    <vt:lpwstr>true</vt:lpwstr>
  </property>
  <property fmtid="{D5CDD505-2E9C-101B-9397-08002B2CF9AE}" pid="4" name="MSIP_Label_00f7727a-510c-40ce-a418-7fdfc8e6513f_SetDate">
    <vt:lpwstr>2021-11-12T14:29:47Z</vt:lpwstr>
  </property>
  <property fmtid="{D5CDD505-2E9C-101B-9397-08002B2CF9AE}" pid="5" name="MSIP_Label_00f7727a-510c-40ce-a418-7fdfc8e6513f_Method">
    <vt:lpwstr>Standard</vt:lpwstr>
  </property>
  <property fmtid="{D5CDD505-2E9C-101B-9397-08002B2CF9AE}" pid="6" name="MSIP_Label_00f7727a-510c-40ce-a418-7fdfc8e6513f_Name">
    <vt:lpwstr>Classified (without encryption)</vt:lpwstr>
  </property>
  <property fmtid="{D5CDD505-2E9C-101B-9397-08002B2CF9AE}" pid="7" name="MSIP_Label_00f7727a-510c-40ce-a418-7fdfc8e6513f_SiteId">
    <vt:lpwstr>75b2f54b-feff-400d-8e0b-67102edb9a23</vt:lpwstr>
  </property>
  <property fmtid="{D5CDD505-2E9C-101B-9397-08002B2CF9AE}" pid="8" name="MSIP_Label_00f7727a-510c-40ce-a418-7fdfc8e6513f_ActionId">
    <vt:lpwstr>88e84a62-e648-4754-940f-7e844351e79e</vt:lpwstr>
  </property>
  <property fmtid="{D5CDD505-2E9C-101B-9397-08002B2CF9AE}" pid="9" name="MSIP_Label_00f7727a-510c-40ce-a418-7fdfc8e6513f_ContentBits">
    <vt:lpwstr>1</vt:lpwstr>
  </property>
  <property fmtid="{D5CDD505-2E9C-101B-9397-08002B2CF9AE}" pid="10" name="MSIP_Label_ba62f585-b40f-4ab9-bafe-39150f03d124_Enabled">
    <vt:lpwstr>true</vt:lpwstr>
  </property>
  <property fmtid="{D5CDD505-2E9C-101B-9397-08002B2CF9AE}" pid="11" name="MSIP_Label_ba62f585-b40f-4ab9-bafe-39150f03d124_SetDate">
    <vt:lpwstr>2021-11-17T11:42:09Z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946a12c9-ba70-4c70-bc3e-a0820efc9f5e</vt:lpwstr>
  </property>
  <property fmtid="{D5CDD505-2E9C-101B-9397-08002B2CF9AE}" pid="16" name="MSIP_Label_ba62f585-b40f-4ab9-bafe-39150f03d124_ContentBits">
    <vt:lpwstr>0</vt:lpwstr>
  </property>
</Properties>
</file>